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25B" w14:textId="77777777" w:rsidR="004C7101" w:rsidRDefault="00492BBF" w:rsidP="002D7267">
      <w:pPr>
        <w:ind w:left="-567" w:right="-3"/>
        <w:rPr>
          <w:sz w:val="44"/>
        </w:rPr>
      </w:pPr>
      <w:r w:rsidRPr="00492BBF">
        <w:rPr>
          <w:noProof/>
          <w:sz w:val="44"/>
        </w:rPr>
        <w:drawing>
          <wp:anchor distT="0" distB="0" distL="114300" distR="114300" simplePos="0" relativeHeight="251661312" behindDoc="0" locked="0" layoutInCell="1" allowOverlap="1" wp14:anchorId="017AC957" wp14:editId="6A38ACA6">
            <wp:simplePos x="0" y="0"/>
            <wp:positionH relativeFrom="column">
              <wp:posOffset>-913941</wp:posOffset>
            </wp:positionH>
            <wp:positionV relativeFrom="paragraph">
              <wp:posOffset>-910157</wp:posOffset>
            </wp:positionV>
            <wp:extent cx="7537589" cy="1945532"/>
            <wp:effectExtent l="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9718" cy="1956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6AF3A" w14:textId="77777777" w:rsidR="004C7101" w:rsidRDefault="004C7101" w:rsidP="002D7267">
      <w:pPr>
        <w:ind w:left="-567" w:right="-3"/>
        <w:rPr>
          <w:sz w:val="44"/>
        </w:rPr>
      </w:pPr>
    </w:p>
    <w:p w14:paraId="3D7CF719" w14:textId="77777777" w:rsidR="004C7101" w:rsidRDefault="004C7101" w:rsidP="002D7267">
      <w:pPr>
        <w:ind w:left="-567" w:right="-3"/>
        <w:rPr>
          <w:sz w:val="44"/>
        </w:rPr>
      </w:pPr>
    </w:p>
    <w:p w14:paraId="1D5A74DE" w14:textId="2086C9E9" w:rsidR="008F5521" w:rsidRDefault="002D7267" w:rsidP="002D7267">
      <w:pPr>
        <w:ind w:right="-3"/>
      </w:pPr>
      <w:r>
        <w:br/>
      </w:r>
      <w:r w:rsidR="00C1762E">
        <w:tab/>
      </w:r>
      <w:r w:rsidR="00C1762E">
        <w:tab/>
      </w:r>
      <w:r w:rsidR="00C1762E">
        <w:tab/>
      </w:r>
      <w:r w:rsidR="00C1762E">
        <w:tab/>
      </w:r>
      <w:r w:rsidR="00C1762E">
        <w:tab/>
      </w:r>
      <w:r w:rsidR="00C1762E">
        <w:tab/>
      </w:r>
      <w:r w:rsidR="00C1762E">
        <w:tab/>
      </w:r>
      <w:r w:rsidR="00C1762E">
        <w:tab/>
      </w:r>
      <w:r w:rsidR="00C1762E">
        <w:tab/>
      </w:r>
      <w:r w:rsidR="00C1762E">
        <w:tab/>
      </w:r>
      <w:r w:rsidR="00C1762E">
        <w:tab/>
        <w:t xml:space="preserve">        </w:t>
      </w:r>
      <w:r w:rsidR="0076398F">
        <w:t>Februar 2020</w:t>
      </w:r>
    </w:p>
    <w:p w14:paraId="74ADAC17" w14:textId="7A994A7A" w:rsidR="002D7267" w:rsidRDefault="004F681D" w:rsidP="002D7267">
      <w:pPr>
        <w:ind w:right="-3"/>
        <w:rPr>
          <w:sz w:val="44"/>
        </w:rPr>
      </w:pPr>
      <w:r w:rsidRPr="005636D1">
        <w:rPr>
          <w:sz w:val="44"/>
        </w:rPr>
        <w:t xml:space="preserve">Landesförderung </w:t>
      </w:r>
      <w:r w:rsidR="003B2805">
        <w:rPr>
          <w:sz w:val="44"/>
        </w:rPr>
        <w:t>Alternativenergieanlagen</w:t>
      </w:r>
      <w:r w:rsidR="00723421" w:rsidRPr="005636D1">
        <w:rPr>
          <w:sz w:val="44"/>
        </w:rPr>
        <w:t xml:space="preserve"> </w:t>
      </w:r>
    </w:p>
    <w:p w14:paraId="4AB18FA7" w14:textId="41B9E06A" w:rsidR="001843C9" w:rsidRDefault="002D7267" w:rsidP="002D7267">
      <w:pPr>
        <w:ind w:right="-3"/>
        <w:rPr>
          <w:sz w:val="44"/>
        </w:rPr>
      </w:pPr>
      <w:r w:rsidRPr="00BF2B98">
        <w:rPr>
          <w:noProof/>
          <w:sz w:val="44"/>
        </w:rPr>
        <w:drawing>
          <wp:anchor distT="0" distB="0" distL="114300" distR="114300" simplePos="0" relativeHeight="251659264" behindDoc="0" locked="0" layoutInCell="1" allowOverlap="1" wp14:anchorId="0A3C28B7" wp14:editId="6C841114">
            <wp:simplePos x="0" y="0"/>
            <wp:positionH relativeFrom="column">
              <wp:posOffset>-461010</wp:posOffset>
            </wp:positionH>
            <wp:positionV relativeFrom="paragraph">
              <wp:posOffset>363333</wp:posOffset>
            </wp:positionV>
            <wp:extent cx="6635282" cy="125129"/>
            <wp:effectExtent l="25400" t="0" r="0" b="0"/>
            <wp:wrapNone/>
            <wp:docPr id="4"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9"/>
                    <a:stretch>
                      <a:fillRect/>
                    </a:stretch>
                  </pic:blipFill>
                  <pic:spPr>
                    <a:xfrm>
                      <a:off x="0" y="0"/>
                      <a:ext cx="6635282" cy="125129"/>
                    </a:xfrm>
                    <a:prstGeom prst="rect">
                      <a:avLst/>
                    </a:prstGeom>
                  </pic:spPr>
                </pic:pic>
              </a:graphicData>
            </a:graphic>
          </wp:anchor>
        </w:drawing>
      </w:r>
      <w:r w:rsidR="005304C0" w:rsidRPr="005636D1">
        <w:rPr>
          <w:sz w:val="44"/>
        </w:rPr>
        <w:t>Burgenland</w:t>
      </w:r>
    </w:p>
    <w:p w14:paraId="12E320C5" w14:textId="77777777" w:rsidR="002D7267" w:rsidRDefault="002D7267" w:rsidP="002D7267">
      <w:pPr>
        <w:ind w:right="-3"/>
        <w:rPr>
          <w:sz w:val="44"/>
        </w:rPr>
      </w:pPr>
    </w:p>
    <w:p w14:paraId="4660C61A" w14:textId="77777777" w:rsidR="0076398F" w:rsidRPr="0076398F" w:rsidRDefault="0076398F" w:rsidP="0076398F">
      <w:pPr>
        <w:jc w:val="both"/>
        <w:rPr>
          <w:rFonts w:ascii="Times New Roman" w:eastAsia="Times New Roman" w:hAnsi="Times New Roman" w:cs="Times New Roman"/>
          <w:sz w:val="24"/>
        </w:rPr>
      </w:pPr>
      <w:r w:rsidRPr="0076398F">
        <w:rPr>
          <w:rFonts w:ascii="Times New Roman" w:eastAsia="Times New Roman" w:hAnsi="Times New Roman" w:cs="Times New Roman"/>
          <w:sz w:val="24"/>
        </w:rPr>
        <w:t xml:space="preserve">Die Burgenländische Wohnbauförderung ist mit der Abwicklung der Förderung von Alternativenergieanlagen betraut. Die Anträge zur Förderung von Alternativenergieanlagen sind daher beim Amt der Burgenländischen Landesregierung, Abteilung 3 - Finanzen, Hauptreferat Wohnbauförderung persönlich oder per Post zubringen. </w:t>
      </w:r>
    </w:p>
    <w:p w14:paraId="6AA88774" w14:textId="00F8B7B6" w:rsidR="0076398F" w:rsidRPr="00EC4E96" w:rsidRDefault="00BA4F83" w:rsidP="0076398F">
      <w:pPr>
        <w:pStyle w:val="berschrift1"/>
        <w:ind w:left="0" w:right="-3"/>
      </w:pPr>
      <w:r>
        <w:rPr>
          <w:rFonts w:cstheme="minorBidi"/>
          <w:szCs w:val="22"/>
        </w:rPr>
        <w:t xml:space="preserve">Allgemeine Voraussetzungen (Auszug) </w:t>
      </w:r>
      <w:r w:rsidR="0076398F" w:rsidRPr="00EC4E96">
        <w:rPr>
          <w:rFonts w:cstheme="minorBidi"/>
          <w:szCs w:val="22"/>
        </w:rPr>
        <w:t xml:space="preserve">: </w:t>
      </w:r>
    </w:p>
    <w:p w14:paraId="663ED6D6" w14:textId="5992F747" w:rsidR="0076398F" w:rsidRDefault="0076398F" w:rsidP="0076398F">
      <w:pPr>
        <w:pStyle w:val="bodytext"/>
      </w:pPr>
      <w:r>
        <w:t xml:space="preserve">In den Genuss einer Förderung können natürliche sowie juristische Personen kommen (z.B. Private Haushalte) die </w:t>
      </w:r>
      <w:proofErr w:type="gramStart"/>
      <w:r>
        <w:t>Österreichischer</w:t>
      </w:r>
      <w:proofErr w:type="gramEnd"/>
      <w:r>
        <w:t xml:space="preserve"> Staatsbürger (oder gleichwertig) sind und ihren Hauptwohnsitz im Burgenland haben. </w:t>
      </w:r>
    </w:p>
    <w:p w14:paraId="13C4BFEA" w14:textId="77777777" w:rsidR="0076398F" w:rsidRDefault="0076398F" w:rsidP="0076398F">
      <w:pPr>
        <w:pStyle w:val="bodytext"/>
      </w:pPr>
      <w:r>
        <w:t>Damit eine Alternativenergieanlage gefördert werden kann muss sie von einem befugten Unternehmen errichtet oder abgenommen werden.</w:t>
      </w:r>
      <w:r>
        <w:br/>
        <w:t xml:space="preserve">Förderansuchen können ab 1.1.2016 bereits vor Errichtung der Anlage, bis längstens 12 Monate ab Rechnungsdatum eingereicht werden. Bei Vorhaben, welche erst mit der Erteilung der Benützungsbewilligung bzw. Fertigstellungsanzeige als abgeschlossen gelten, gilt eine 6 Monatsfrist erst ab dem Datum der Benützungsbewilligung. </w:t>
      </w:r>
    </w:p>
    <w:p w14:paraId="1B0B4F8D" w14:textId="77777777" w:rsidR="00BA4F83" w:rsidRPr="00BA4F83" w:rsidRDefault="00BA4F83" w:rsidP="00BA4F83">
      <w:pPr>
        <w:rPr>
          <w:rFonts w:ascii="Times New Roman" w:eastAsia="Times New Roman" w:hAnsi="Times New Roman" w:cs="Times New Roman"/>
          <w:sz w:val="24"/>
        </w:rPr>
      </w:pPr>
      <w:r w:rsidRPr="00BA4F83">
        <w:rPr>
          <w:rFonts w:ascii="Times New Roman" w:eastAsia="Times New Roman" w:hAnsi="Symbol" w:cs="Times New Roman"/>
          <w:sz w:val="24"/>
        </w:rPr>
        <w:t></w:t>
      </w:r>
      <w:r w:rsidRPr="00BA4F83">
        <w:rPr>
          <w:rFonts w:ascii="Times New Roman" w:eastAsia="Times New Roman" w:hAnsi="Times New Roman" w:cs="Times New Roman"/>
          <w:sz w:val="24"/>
        </w:rPr>
        <w:t xml:space="preserve">  Hauptwohnsitz des Förderwerbers im Burgenland und im Objekt der zu fördernden Anlage</w:t>
      </w:r>
    </w:p>
    <w:p w14:paraId="3E6DF07B" w14:textId="77777777" w:rsidR="00BA4F83" w:rsidRDefault="00BA4F83" w:rsidP="00BA4F83">
      <w:pPr>
        <w:rPr>
          <w:rFonts w:ascii="Times New Roman" w:eastAsia="Times New Roman" w:hAnsi="Times New Roman" w:cs="Times New Roman"/>
          <w:sz w:val="24"/>
        </w:rPr>
      </w:pPr>
      <w:r w:rsidRPr="00BA4F83">
        <w:rPr>
          <w:rFonts w:ascii="Times New Roman" w:eastAsia="Times New Roman" w:hAnsi="Symbol" w:cs="Times New Roman"/>
          <w:sz w:val="24"/>
        </w:rPr>
        <w:t></w:t>
      </w:r>
      <w:r w:rsidRPr="00BA4F83">
        <w:rPr>
          <w:rFonts w:ascii="Times New Roman" w:eastAsia="Times New Roman" w:hAnsi="Times New Roman" w:cs="Times New Roman"/>
          <w:sz w:val="24"/>
        </w:rPr>
        <w:t xml:space="preserve">  Hauptwohnsitz des Ehe- oder Lebenspartners im Burgenland und im Objekt der zu fördernden </w:t>
      </w:r>
    </w:p>
    <w:p w14:paraId="1BF7A2AD" w14:textId="7FB7B533" w:rsidR="00BA4F83" w:rsidRPr="00BA4F83" w:rsidRDefault="00BA4F83" w:rsidP="00BA4F83">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A4F83">
        <w:rPr>
          <w:rFonts w:ascii="Times New Roman" w:eastAsia="Times New Roman" w:hAnsi="Times New Roman" w:cs="Times New Roman"/>
          <w:sz w:val="24"/>
        </w:rPr>
        <w:t>Anlage</w:t>
      </w:r>
    </w:p>
    <w:p w14:paraId="06288125" w14:textId="77777777" w:rsidR="00BA4F83" w:rsidRPr="00BA4F83" w:rsidRDefault="00BA4F83" w:rsidP="00BA4F83">
      <w:pPr>
        <w:rPr>
          <w:rFonts w:ascii="Times New Roman" w:eastAsia="Times New Roman" w:hAnsi="Times New Roman" w:cs="Times New Roman"/>
          <w:sz w:val="24"/>
        </w:rPr>
      </w:pPr>
      <w:r w:rsidRPr="00BA4F83">
        <w:rPr>
          <w:rFonts w:ascii="Times New Roman" w:eastAsia="Times New Roman" w:hAnsi="Symbol" w:cs="Times New Roman"/>
          <w:sz w:val="24"/>
        </w:rPr>
        <w:t></w:t>
      </w:r>
      <w:r w:rsidRPr="00BA4F83">
        <w:rPr>
          <w:rFonts w:ascii="Times New Roman" w:eastAsia="Times New Roman" w:hAnsi="Times New Roman" w:cs="Times New Roman"/>
          <w:sz w:val="24"/>
        </w:rPr>
        <w:t xml:space="preserve">  </w:t>
      </w:r>
      <w:proofErr w:type="gramStart"/>
      <w:r w:rsidRPr="00BA4F83">
        <w:rPr>
          <w:rFonts w:ascii="Times New Roman" w:eastAsia="Times New Roman" w:hAnsi="Times New Roman" w:cs="Times New Roman"/>
          <w:sz w:val="24"/>
        </w:rPr>
        <w:t>Österreichischer</w:t>
      </w:r>
      <w:proofErr w:type="gramEnd"/>
      <w:r w:rsidRPr="00BA4F83">
        <w:rPr>
          <w:rFonts w:ascii="Times New Roman" w:eastAsia="Times New Roman" w:hAnsi="Times New Roman" w:cs="Times New Roman"/>
          <w:sz w:val="24"/>
        </w:rPr>
        <w:t xml:space="preserve"> Staatsbürger oder ähnliches (auch EU)</w:t>
      </w:r>
    </w:p>
    <w:p w14:paraId="7565A2AD" w14:textId="77777777" w:rsidR="00BA4F83" w:rsidRDefault="00BA4F83" w:rsidP="00BA4F83">
      <w:pPr>
        <w:rPr>
          <w:rFonts w:ascii="Times New Roman" w:eastAsia="Times New Roman" w:hAnsi="Times New Roman" w:cs="Times New Roman"/>
          <w:sz w:val="24"/>
        </w:rPr>
      </w:pPr>
      <w:r w:rsidRPr="00BA4F83">
        <w:rPr>
          <w:rFonts w:ascii="Times New Roman" w:eastAsia="Times New Roman" w:hAnsi="Symbol" w:cs="Times New Roman"/>
          <w:sz w:val="24"/>
        </w:rPr>
        <w:t></w:t>
      </w:r>
      <w:r w:rsidRPr="00BA4F83">
        <w:rPr>
          <w:rFonts w:ascii="Times New Roman" w:eastAsia="Times New Roman" w:hAnsi="Times New Roman" w:cs="Times New Roman"/>
          <w:sz w:val="24"/>
        </w:rPr>
        <w:t xml:space="preserve">  Rechnungsdatum nicht älter als 12 Monate oder Benützungsbewilligung bzw. </w:t>
      </w:r>
    </w:p>
    <w:p w14:paraId="5AEF280E" w14:textId="4D87090C" w:rsidR="00BA4F83" w:rsidRPr="00BA4F83" w:rsidRDefault="00BA4F83" w:rsidP="00BA4F83">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A4F83">
        <w:rPr>
          <w:rFonts w:ascii="Times New Roman" w:eastAsia="Times New Roman" w:hAnsi="Times New Roman" w:cs="Times New Roman"/>
          <w:sz w:val="24"/>
        </w:rPr>
        <w:t>Fertigstellungsanzeige der Anlage nicht älter als 6 Monate</w:t>
      </w:r>
    </w:p>
    <w:p w14:paraId="030524E4" w14:textId="77777777" w:rsidR="00BA4F83" w:rsidRDefault="00BA4F83" w:rsidP="00BA4F83">
      <w:pPr>
        <w:rPr>
          <w:sz w:val="18"/>
          <w:szCs w:val="20"/>
        </w:rPr>
      </w:pPr>
    </w:p>
    <w:p w14:paraId="18111F19" w14:textId="08A6D34F" w:rsidR="002C4A52" w:rsidRPr="00BA4F83" w:rsidRDefault="00BA4F83" w:rsidP="00BA4F83">
      <w:pPr>
        <w:rPr>
          <w:sz w:val="18"/>
          <w:szCs w:val="20"/>
        </w:rPr>
      </w:pPr>
      <w:r w:rsidRPr="00BA4F83">
        <w:rPr>
          <w:sz w:val="18"/>
          <w:szCs w:val="20"/>
        </w:rPr>
        <w:t xml:space="preserve">Nähere Details siehe: </w:t>
      </w:r>
      <w:hyperlink r:id="rId10" w:history="1">
        <w:r w:rsidRPr="00BA4F83">
          <w:rPr>
            <w:rStyle w:val="Hyperlink"/>
            <w:sz w:val="18"/>
            <w:szCs w:val="18"/>
          </w:rPr>
          <w:t>https://www.burgenland.at/themen/energie/foerderungen/alternativenergieanlagen/voraussetzungen-fuer-foerderung/</w:t>
        </w:r>
      </w:hyperlink>
    </w:p>
    <w:p w14:paraId="598E1C70" w14:textId="2C2691EC" w:rsidR="00794D0B" w:rsidRDefault="00794D0B" w:rsidP="002D7267">
      <w:pPr>
        <w:pStyle w:val="berschrift1"/>
        <w:ind w:left="0" w:right="-3"/>
        <w:rPr>
          <w:rFonts w:cstheme="minorBidi"/>
          <w:szCs w:val="22"/>
        </w:rPr>
      </w:pPr>
    </w:p>
    <w:p w14:paraId="44657398" w14:textId="77777777" w:rsidR="00CC373B" w:rsidRPr="00EC4E96" w:rsidRDefault="00CC373B" w:rsidP="002D7267">
      <w:pPr>
        <w:pStyle w:val="berschrift1"/>
        <w:ind w:left="0" w:right="-3"/>
        <w:rPr>
          <w:szCs w:val="22"/>
        </w:rPr>
      </w:pPr>
      <w:r w:rsidRPr="00EC4E96">
        <w:rPr>
          <w:szCs w:val="22"/>
        </w:rPr>
        <w:t>Antragsteller</w:t>
      </w:r>
    </w:p>
    <w:p w14:paraId="264FA650" w14:textId="63B15FFC" w:rsidR="00CC373B" w:rsidRDefault="00E230A2" w:rsidP="002D7267">
      <w:pPr>
        <w:ind w:right="-3"/>
        <w:jc w:val="both"/>
        <w:rPr>
          <w:rFonts w:cs="Times-Roman"/>
          <w:szCs w:val="22"/>
        </w:rPr>
      </w:pPr>
      <w:r w:rsidRPr="00EC4E96">
        <w:rPr>
          <w:rFonts w:cs="Times-Roman"/>
          <w:szCs w:val="22"/>
        </w:rPr>
        <w:t>Natürliche Personen</w:t>
      </w:r>
      <w:r w:rsidR="00EC4E96">
        <w:rPr>
          <w:rFonts w:cs="Times-Roman"/>
          <w:szCs w:val="22"/>
        </w:rPr>
        <w:t xml:space="preserve">, dazu gehören auch Eigentümer von Reihenhäusern, sofern die Anlagen überwiegend privat </w:t>
      </w:r>
      <w:r w:rsidR="00307980">
        <w:rPr>
          <w:rFonts w:cs="Times-Roman"/>
          <w:szCs w:val="22"/>
        </w:rPr>
        <w:t xml:space="preserve">(&gt; 50 % der Fläche des Gesamtgebäudes) </w:t>
      </w:r>
      <w:r w:rsidR="00EC4E96">
        <w:rPr>
          <w:rFonts w:cs="Times-Roman"/>
          <w:szCs w:val="22"/>
        </w:rPr>
        <w:t xml:space="preserve">genutzt werden. </w:t>
      </w:r>
    </w:p>
    <w:p w14:paraId="26BC3CEF" w14:textId="6474491C" w:rsidR="00307980" w:rsidRPr="00EC4E96" w:rsidRDefault="00307980" w:rsidP="002D7267">
      <w:pPr>
        <w:ind w:right="-3"/>
        <w:jc w:val="both"/>
        <w:rPr>
          <w:color w:val="E36C0A" w:themeColor="accent6" w:themeShade="BF"/>
          <w:szCs w:val="22"/>
        </w:rPr>
      </w:pPr>
      <w:r>
        <w:rPr>
          <w:rFonts w:cs="Times-Roman"/>
          <w:szCs w:val="22"/>
        </w:rPr>
        <w:t xml:space="preserve">Diese müssen österreichische Staatsbürger sein, oder solchen Personen gleichgestellt sind. </w:t>
      </w:r>
    </w:p>
    <w:p w14:paraId="58AC22CE" w14:textId="77777777" w:rsidR="004F681D" w:rsidRPr="00EC4E96" w:rsidRDefault="004C7B8D" w:rsidP="002D7267">
      <w:pPr>
        <w:pStyle w:val="berschrift1"/>
        <w:ind w:left="0" w:right="-3"/>
        <w:rPr>
          <w:szCs w:val="22"/>
        </w:rPr>
      </w:pPr>
      <w:r w:rsidRPr="00EC4E96">
        <w:rPr>
          <w:szCs w:val="22"/>
        </w:rPr>
        <w:t>Art und Höhe der Förderungen</w:t>
      </w:r>
    </w:p>
    <w:p w14:paraId="5EC01E36" w14:textId="6054C709" w:rsidR="002D70A8" w:rsidRDefault="002D70A8" w:rsidP="002D7267">
      <w:pPr>
        <w:ind w:right="-3"/>
        <w:jc w:val="both"/>
        <w:rPr>
          <w:szCs w:val="22"/>
        </w:rPr>
      </w:pPr>
      <w:r w:rsidRPr="00EC4E96">
        <w:rPr>
          <w:szCs w:val="22"/>
        </w:rPr>
        <w:t>Die Förderhöhe beträgt grundsätzlich 30% der anfallenden, anrechenbaren Kosten. Dabei sind die Grund- und Höchstbeträge (=maximal mögliche Förderhöhe) wie folgt festgelegt:</w:t>
      </w:r>
    </w:p>
    <w:p w14:paraId="2F647D5C" w14:textId="3D2A0B23" w:rsidR="00EC4E96" w:rsidRDefault="00EC4E96" w:rsidP="002D7267">
      <w:pPr>
        <w:ind w:right="-3"/>
        <w:jc w:val="both"/>
        <w:rPr>
          <w:szCs w:val="22"/>
        </w:rPr>
      </w:pPr>
    </w:p>
    <w:tbl>
      <w:tblPr>
        <w:tblStyle w:val="HelleListe-Akzent2"/>
        <w:tblW w:w="0" w:type="auto"/>
        <w:tblLook w:val="0000" w:firstRow="0" w:lastRow="0" w:firstColumn="0" w:lastColumn="0" w:noHBand="0" w:noVBand="0"/>
      </w:tblPr>
      <w:tblGrid>
        <w:gridCol w:w="5220"/>
        <w:gridCol w:w="1202"/>
        <w:gridCol w:w="1270"/>
        <w:gridCol w:w="1783"/>
      </w:tblGrid>
      <w:tr w:rsidR="00140971" w14:paraId="090AA7DE" w14:textId="77777777" w:rsidTr="00140971">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5386" w:type="dxa"/>
            <w:tcBorders>
              <w:right w:val="nil"/>
            </w:tcBorders>
            <w:shd w:val="clear" w:color="auto" w:fill="800000"/>
          </w:tcPr>
          <w:p w14:paraId="65C2701E" w14:textId="0093A798" w:rsidR="00140971" w:rsidRPr="00AE4851" w:rsidRDefault="00B6383C" w:rsidP="002D7267">
            <w:pPr>
              <w:ind w:right="-3"/>
              <w:jc w:val="both"/>
              <w:rPr>
                <w:rFonts w:cs="Times-Roman"/>
                <w:b/>
                <w:color w:val="FFFFFF" w:themeColor="background1"/>
              </w:rPr>
            </w:pPr>
            <w:r w:rsidRPr="00AE4851">
              <w:rPr>
                <w:rFonts w:cs="Times-Roman"/>
                <w:b/>
                <w:color w:val="FFFFFF" w:themeColor="background1"/>
              </w:rPr>
              <w:lastRenderedPageBreak/>
              <w:t>Maßnahme</w:t>
            </w:r>
          </w:p>
        </w:tc>
        <w:tc>
          <w:tcPr>
            <w:tcW w:w="2519" w:type="dxa"/>
            <w:gridSpan w:val="2"/>
            <w:tcBorders>
              <w:left w:val="nil"/>
            </w:tcBorders>
            <w:shd w:val="clear" w:color="auto" w:fill="800000"/>
          </w:tcPr>
          <w:p w14:paraId="3F76FA0E" w14:textId="75C357B1" w:rsidR="00140971" w:rsidRPr="00AE4851" w:rsidRDefault="00140971"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b/>
                <w:color w:val="FFFFFF" w:themeColor="background1"/>
              </w:rPr>
            </w:pPr>
            <w:r w:rsidRPr="00AE4851">
              <w:rPr>
                <w:rFonts w:cs="Times-Roman"/>
                <w:b/>
                <w:color w:val="FFFFFF" w:themeColor="background1"/>
              </w:rPr>
              <w:t>Grundbetrag</w:t>
            </w:r>
          </w:p>
        </w:tc>
        <w:tc>
          <w:tcPr>
            <w:cnfStyle w:val="000010000000" w:firstRow="0" w:lastRow="0" w:firstColumn="0" w:lastColumn="0" w:oddVBand="1" w:evenVBand="0" w:oddHBand="0" w:evenHBand="0" w:firstRowFirstColumn="0" w:firstRowLastColumn="0" w:lastRowFirstColumn="0" w:lastRowLastColumn="0"/>
            <w:tcW w:w="1806" w:type="dxa"/>
            <w:tcBorders>
              <w:left w:val="nil"/>
            </w:tcBorders>
            <w:shd w:val="clear" w:color="auto" w:fill="800000"/>
          </w:tcPr>
          <w:p w14:paraId="6F541DDD" w14:textId="63242D7D" w:rsidR="00140971" w:rsidRPr="00AE4851" w:rsidRDefault="00140971" w:rsidP="002D7267">
            <w:pPr>
              <w:ind w:right="-3"/>
              <w:jc w:val="right"/>
              <w:rPr>
                <w:rFonts w:cs="Times-Roman"/>
                <w:b/>
                <w:color w:val="FFFFFF" w:themeColor="background1"/>
              </w:rPr>
            </w:pPr>
            <w:r w:rsidRPr="00AE4851">
              <w:rPr>
                <w:rFonts w:cs="Times-Roman"/>
                <w:b/>
                <w:color w:val="FFFFFF" w:themeColor="background1"/>
              </w:rPr>
              <w:t>Max. mögliche Förderhöhe</w:t>
            </w:r>
          </w:p>
        </w:tc>
      </w:tr>
      <w:tr w:rsidR="00140971" w:rsidRPr="003F5D08" w14:paraId="4EC0BA34" w14:textId="77777777" w:rsidTr="00140971">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78D6976F" w14:textId="01D70E14" w:rsidR="00140971" w:rsidRPr="00AE4851" w:rsidRDefault="00140971" w:rsidP="002D7267">
            <w:pPr>
              <w:ind w:right="-3"/>
              <w:rPr>
                <w:rFonts w:cs="Times-Roman"/>
              </w:rPr>
            </w:pPr>
            <w:r w:rsidRPr="00AE4851">
              <w:rPr>
                <w:rFonts w:cs="Times-Roman"/>
              </w:rPr>
              <w:t>Thermische Solaranlage für Warmwasserbereitung</w:t>
            </w:r>
          </w:p>
        </w:tc>
        <w:tc>
          <w:tcPr>
            <w:tcW w:w="1276" w:type="dxa"/>
            <w:tcBorders>
              <w:top w:val="single" w:sz="8" w:space="0" w:color="C0504D" w:themeColor="accent2"/>
              <w:left w:val="nil"/>
              <w:bottom w:val="single" w:sz="8" w:space="0" w:color="C0504D" w:themeColor="accent2"/>
            </w:tcBorders>
          </w:tcPr>
          <w:p w14:paraId="75269993" w14:textId="2511D301" w:rsidR="00140971" w:rsidRPr="00AE4851" w:rsidRDefault="00140971"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rPr>
            </w:pPr>
            <w:r w:rsidRPr="00AE4851">
              <w:rPr>
                <w:rFonts w:cs="Times-Roman"/>
              </w:rPr>
              <w:t>€ 700,-</w:t>
            </w:r>
          </w:p>
        </w:tc>
        <w:tc>
          <w:tcPr>
            <w:cnfStyle w:val="000010000000" w:firstRow="0" w:lastRow="0" w:firstColumn="0" w:lastColumn="0" w:oddVBand="1" w:evenVBand="0" w:oddHBand="0" w:evenHBand="0" w:firstRowFirstColumn="0" w:firstRowLastColumn="0" w:lastRowFirstColumn="0" w:lastRowLastColumn="0"/>
            <w:tcW w:w="1806" w:type="dxa"/>
            <w:tcBorders>
              <w:top w:val="single" w:sz="8" w:space="0" w:color="C0504D" w:themeColor="accent2"/>
              <w:left w:val="nil"/>
              <w:bottom w:val="single" w:sz="8" w:space="0" w:color="C0504D" w:themeColor="accent2"/>
            </w:tcBorders>
          </w:tcPr>
          <w:p w14:paraId="5B7C6878" w14:textId="5A3CB2E3" w:rsidR="00140971" w:rsidRPr="00AE4851" w:rsidRDefault="00140971" w:rsidP="002D7267">
            <w:pPr>
              <w:ind w:right="-3"/>
              <w:jc w:val="right"/>
              <w:rPr>
                <w:rFonts w:cs="Times-Roman"/>
              </w:rPr>
            </w:pPr>
            <w:r w:rsidRPr="00AE4851">
              <w:rPr>
                <w:rFonts w:cs="Times-Roman"/>
              </w:rPr>
              <w:t>€ 1.100,-</w:t>
            </w:r>
          </w:p>
        </w:tc>
      </w:tr>
      <w:tr w:rsidR="00140971" w:rsidRPr="003F5D08" w14:paraId="43E454A1" w14:textId="77777777" w:rsidTr="001409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52B44B56" w14:textId="143501F3" w:rsidR="00140971" w:rsidRPr="00AE4851" w:rsidRDefault="00140971" w:rsidP="002D7267">
            <w:pPr>
              <w:ind w:right="-3"/>
              <w:rPr>
                <w:rFonts w:cs="Times-Roman"/>
              </w:rPr>
            </w:pPr>
            <w:r w:rsidRPr="00AE4851">
              <w:rPr>
                <w:rFonts w:cs="Times-Roman"/>
              </w:rPr>
              <w:t>Thermische Solaranlage für Heizungsunterstützung</w:t>
            </w:r>
          </w:p>
        </w:tc>
        <w:tc>
          <w:tcPr>
            <w:tcW w:w="1276" w:type="dxa"/>
            <w:tcBorders>
              <w:left w:val="nil"/>
            </w:tcBorders>
          </w:tcPr>
          <w:p w14:paraId="4EF2768D" w14:textId="62F77063" w:rsidR="00140971" w:rsidRPr="00AE4851" w:rsidRDefault="00140971"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rPr>
            </w:pPr>
            <w:r w:rsidRPr="00AE4851">
              <w:rPr>
                <w:rFonts w:cs="Times-Roman"/>
              </w:rPr>
              <w:t>€ 1.200,-</w:t>
            </w:r>
          </w:p>
        </w:tc>
        <w:tc>
          <w:tcPr>
            <w:cnfStyle w:val="000010000000" w:firstRow="0" w:lastRow="0" w:firstColumn="0" w:lastColumn="0" w:oddVBand="1" w:evenVBand="0" w:oddHBand="0" w:evenHBand="0" w:firstRowFirstColumn="0" w:firstRowLastColumn="0" w:lastRowFirstColumn="0" w:lastRowLastColumn="0"/>
            <w:tcW w:w="1806" w:type="dxa"/>
            <w:tcBorders>
              <w:left w:val="nil"/>
            </w:tcBorders>
          </w:tcPr>
          <w:p w14:paraId="69BAF20A" w14:textId="4E814767" w:rsidR="00140971" w:rsidRPr="00AE4851" w:rsidRDefault="00140971" w:rsidP="002D7267">
            <w:pPr>
              <w:ind w:right="-3"/>
              <w:jc w:val="right"/>
              <w:rPr>
                <w:rFonts w:cs="Times-Roman"/>
              </w:rPr>
            </w:pPr>
            <w:r w:rsidRPr="00AE4851">
              <w:rPr>
                <w:rFonts w:cs="Times-Roman"/>
              </w:rPr>
              <w:t>€ 1.800,-</w:t>
            </w:r>
          </w:p>
        </w:tc>
      </w:tr>
      <w:tr w:rsidR="00140971" w:rsidRPr="003F5D08" w14:paraId="3A57D366" w14:textId="77777777" w:rsidTr="00140971">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298F8D04" w14:textId="081B1AC8" w:rsidR="00140971" w:rsidRPr="00AE4851" w:rsidRDefault="00140971" w:rsidP="002D7267">
            <w:pPr>
              <w:ind w:right="-3"/>
              <w:rPr>
                <w:rFonts w:cs="Times-Roman"/>
              </w:rPr>
            </w:pPr>
            <w:r w:rsidRPr="00AE4851">
              <w:rPr>
                <w:rFonts w:cs="Times-Roman"/>
              </w:rPr>
              <w:t>Hauszentralheizung über Biomasse</w:t>
            </w:r>
          </w:p>
        </w:tc>
        <w:tc>
          <w:tcPr>
            <w:tcW w:w="1276" w:type="dxa"/>
            <w:tcBorders>
              <w:top w:val="single" w:sz="8" w:space="0" w:color="C0504D" w:themeColor="accent2"/>
              <w:left w:val="nil"/>
              <w:bottom w:val="single" w:sz="8" w:space="0" w:color="C0504D" w:themeColor="accent2"/>
            </w:tcBorders>
          </w:tcPr>
          <w:p w14:paraId="2340FF19" w14:textId="46D39763" w:rsidR="00140971" w:rsidRPr="00AE4851" w:rsidRDefault="00140971"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rPr>
            </w:pPr>
            <w:r w:rsidRPr="00AE4851">
              <w:rPr>
                <w:rFonts w:cs="Times-Roman"/>
              </w:rPr>
              <w:t>€ 1.400,-</w:t>
            </w:r>
          </w:p>
        </w:tc>
        <w:tc>
          <w:tcPr>
            <w:cnfStyle w:val="000010000000" w:firstRow="0" w:lastRow="0" w:firstColumn="0" w:lastColumn="0" w:oddVBand="1" w:evenVBand="0" w:oddHBand="0" w:evenHBand="0" w:firstRowFirstColumn="0" w:firstRowLastColumn="0" w:lastRowFirstColumn="0" w:lastRowLastColumn="0"/>
            <w:tcW w:w="1806" w:type="dxa"/>
            <w:tcBorders>
              <w:top w:val="single" w:sz="8" w:space="0" w:color="C0504D" w:themeColor="accent2"/>
              <w:left w:val="nil"/>
              <w:bottom w:val="single" w:sz="8" w:space="0" w:color="C0504D" w:themeColor="accent2"/>
            </w:tcBorders>
          </w:tcPr>
          <w:p w14:paraId="032194D8" w14:textId="7544B2F9" w:rsidR="00140971" w:rsidRPr="00AE4851" w:rsidRDefault="00140971" w:rsidP="002D7267">
            <w:pPr>
              <w:ind w:right="-3"/>
              <w:jc w:val="right"/>
              <w:rPr>
                <w:rFonts w:cs="Times-Roman"/>
              </w:rPr>
            </w:pPr>
            <w:r w:rsidRPr="00AE4851">
              <w:rPr>
                <w:rFonts w:cs="Times-Roman"/>
              </w:rPr>
              <w:t>€ 2.200,-</w:t>
            </w:r>
          </w:p>
        </w:tc>
      </w:tr>
      <w:tr w:rsidR="00140971" w:rsidRPr="003F5D08" w14:paraId="5ACF4ABA" w14:textId="77777777" w:rsidTr="001409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5655BAFC" w14:textId="4CB4B1C4" w:rsidR="00140971" w:rsidRPr="00AE4851" w:rsidRDefault="00140971" w:rsidP="002D7267">
            <w:pPr>
              <w:ind w:right="-3"/>
              <w:rPr>
                <w:rFonts w:cs="Times-Roman"/>
              </w:rPr>
            </w:pPr>
            <w:r w:rsidRPr="00AE4851">
              <w:rPr>
                <w:rFonts w:cs="Times-Roman"/>
              </w:rPr>
              <w:t>Sonstige Anlagen auf Basis erneuerbarer Energie</w:t>
            </w:r>
          </w:p>
        </w:tc>
        <w:tc>
          <w:tcPr>
            <w:tcW w:w="1276" w:type="dxa"/>
            <w:tcBorders>
              <w:left w:val="nil"/>
            </w:tcBorders>
          </w:tcPr>
          <w:p w14:paraId="203BAE69" w14:textId="008682B9" w:rsidR="00140971" w:rsidRPr="00AE4851" w:rsidRDefault="00140971"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rPr>
            </w:pPr>
            <w:r w:rsidRPr="00AE4851">
              <w:rPr>
                <w:rFonts w:cs="Times-Roman"/>
              </w:rPr>
              <w:t>€ 400,-</w:t>
            </w:r>
          </w:p>
        </w:tc>
        <w:tc>
          <w:tcPr>
            <w:cnfStyle w:val="000010000000" w:firstRow="0" w:lastRow="0" w:firstColumn="0" w:lastColumn="0" w:oddVBand="1" w:evenVBand="0" w:oddHBand="0" w:evenHBand="0" w:firstRowFirstColumn="0" w:firstRowLastColumn="0" w:lastRowFirstColumn="0" w:lastRowLastColumn="0"/>
            <w:tcW w:w="1806" w:type="dxa"/>
            <w:tcBorders>
              <w:left w:val="nil"/>
            </w:tcBorders>
          </w:tcPr>
          <w:p w14:paraId="31F3389A" w14:textId="6714AA15" w:rsidR="00140971" w:rsidRPr="00AE4851" w:rsidRDefault="00140971" w:rsidP="002D7267">
            <w:pPr>
              <w:ind w:right="-3"/>
              <w:jc w:val="right"/>
              <w:rPr>
                <w:rFonts w:cs="Times-Roman"/>
              </w:rPr>
            </w:pPr>
            <w:r w:rsidRPr="00AE4851">
              <w:rPr>
                <w:rFonts w:cs="Times-Roman"/>
              </w:rPr>
              <w:t>€ 1.300,-</w:t>
            </w:r>
          </w:p>
        </w:tc>
      </w:tr>
      <w:tr w:rsidR="00140971" w:rsidRPr="003F5D08" w14:paraId="55164DE8" w14:textId="77777777" w:rsidTr="00140971">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5D72B928" w14:textId="29729507" w:rsidR="00140971" w:rsidRPr="00AE4851" w:rsidRDefault="00140971" w:rsidP="002D7267">
            <w:pPr>
              <w:ind w:right="-3"/>
              <w:rPr>
                <w:rFonts w:cs="Times-Roman"/>
              </w:rPr>
            </w:pPr>
            <w:r w:rsidRPr="00AE4851">
              <w:rPr>
                <w:rFonts w:cs="Times-Roman"/>
              </w:rPr>
              <w:t>Fernwärmeanschlüsse</w:t>
            </w:r>
          </w:p>
        </w:tc>
        <w:tc>
          <w:tcPr>
            <w:tcW w:w="1276" w:type="dxa"/>
            <w:tcBorders>
              <w:top w:val="single" w:sz="8" w:space="0" w:color="C0504D" w:themeColor="accent2"/>
              <w:left w:val="nil"/>
              <w:bottom w:val="single" w:sz="8" w:space="0" w:color="C0504D" w:themeColor="accent2"/>
            </w:tcBorders>
          </w:tcPr>
          <w:p w14:paraId="40CEDB28" w14:textId="73C6ECF2" w:rsidR="00140971" w:rsidRPr="00AE4851" w:rsidRDefault="00140971"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rPr>
            </w:pPr>
            <w:r w:rsidRPr="00AE4851">
              <w:rPr>
                <w:rFonts w:cs="Times-Roman"/>
              </w:rPr>
              <w:t>€ 1.400,-</w:t>
            </w:r>
          </w:p>
        </w:tc>
        <w:tc>
          <w:tcPr>
            <w:cnfStyle w:val="000010000000" w:firstRow="0" w:lastRow="0" w:firstColumn="0" w:lastColumn="0" w:oddVBand="1" w:evenVBand="0" w:oddHBand="0" w:evenHBand="0" w:firstRowFirstColumn="0" w:firstRowLastColumn="0" w:lastRowFirstColumn="0" w:lastRowLastColumn="0"/>
            <w:tcW w:w="1806" w:type="dxa"/>
            <w:tcBorders>
              <w:top w:val="single" w:sz="8" w:space="0" w:color="C0504D" w:themeColor="accent2"/>
              <w:left w:val="nil"/>
              <w:bottom w:val="single" w:sz="8" w:space="0" w:color="C0504D" w:themeColor="accent2"/>
            </w:tcBorders>
          </w:tcPr>
          <w:p w14:paraId="1536097A" w14:textId="50508713" w:rsidR="00140971" w:rsidRPr="00AE4851" w:rsidRDefault="00140971" w:rsidP="002D7267">
            <w:pPr>
              <w:ind w:right="-3"/>
              <w:jc w:val="right"/>
              <w:rPr>
                <w:rFonts w:cs="Times-Roman"/>
              </w:rPr>
            </w:pPr>
            <w:r w:rsidRPr="00AE4851">
              <w:rPr>
                <w:rFonts w:cs="Times-Roman"/>
              </w:rPr>
              <w:t>€ 2.000,-</w:t>
            </w:r>
          </w:p>
        </w:tc>
      </w:tr>
      <w:tr w:rsidR="00140971" w:rsidRPr="003F5D08" w14:paraId="1B8AB312" w14:textId="77777777" w:rsidTr="001409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29" w:type="dxa"/>
            <w:gridSpan w:val="2"/>
            <w:tcBorders>
              <w:right w:val="nil"/>
            </w:tcBorders>
          </w:tcPr>
          <w:p w14:paraId="53B7AD26" w14:textId="59A2AEA1" w:rsidR="00140971" w:rsidRPr="00AE4851" w:rsidRDefault="00140971" w:rsidP="002D7267">
            <w:pPr>
              <w:ind w:right="-3"/>
              <w:rPr>
                <w:rFonts w:cs="Times-Roman"/>
              </w:rPr>
            </w:pPr>
            <w:r w:rsidRPr="00AE4851">
              <w:rPr>
                <w:rFonts w:cs="Times-Roman"/>
              </w:rPr>
              <w:t>Maßnahmen zur Effizienzsteigerung bestehender Biomasseanlagen</w:t>
            </w:r>
          </w:p>
        </w:tc>
        <w:tc>
          <w:tcPr>
            <w:tcW w:w="1276" w:type="dxa"/>
            <w:tcBorders>
              <w:left w:val="nil"/>
            </w:tcBorders>
          </w:tcPr>
          <w:p w14:paraId="424694FE" w14:textId="65DF3C6A" w:rsidR="00140971" w:rsidRPr="00AE4851" w:rsidRDefault="00140971"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rPr>
            </w:pPr>
            <w:r w:rsidRPr="00AE4851">
              <w:rPr>
                <w:rFonts w:cs="Times-Roman"/>
              </w:rPr>
              <w:t>€ 300,-</w:t>
            </w:r>
          </w:p>
        </w:tc>
        <w:tc>
          <w:tcPr>
            <w:cnfStyle w:val="000010000000" w:firstRow="0" w:lastRow="0" w:firstColumn="0" w:lastColumn="0" w:oddVBand="1" w:evenVBand="0" w:oddHBand="0" w:evenHBand="0" w:firstRowFirstColumn="0" w:firstRowLastColumn="0" w:lastRowFirstColumn="0" w:lastRowLastColumn="0"/>
            <w:tcW w:w="1806" w:type="dxa"/>
            <w:tcBorders>
              <w:left w:val="nil"/>
            </w:tcBorders>
          </w:tcPr>
          <w:p w14:paraId="487A6BE9" w14:textId="516C079D" w:rsidR="00140971" w:rsidRPr="00AE4851" w:rsidRDefault="00140971" w:rsidP="002D7267">
            <w:pPr>
              <w:ind w:right="-3"/>
              <w:jc w:val="right"/>
              <w:rPr>
                <w:rFonts w:cs="Times-Roman"/>
              </w:rPr>
            </w:pPr>
            <w:r w:rsidRPr="00AE4851">
              <w:rPr>
                <w:rFonts w:cs="Times-Roman"/>
              </w:rPr>
              <w:t>€ 400,-</w:t>
            </w:r>
          </w:p>
        </w:tc>
      </w:tr>
    </w:tbl>
    <w:p w14:paraId="5B821F91" w14:textId="0D121856" w:rsidR="00AE4851" w:rsidRDefault="0090570B" w:rsidP="002D7267">
      <w:pPr>
        <w:pStyle w:val="berschrift1"/>
        <w:ind w:left="0" w:right="-3"/>
        <w:rPr>
          <w:szCs w:val="22"/>
        </w:rPr>
      </w:pPr>
      <w:r>
        <w:rPr>
          <w:szCs w:val="22"/>
        </w:rPr>
        <w:t>Förderungsvoraussetzungen</w:t>
      </w:r>
      <w:r w:rsidR="00F1142E">
        <w:rPr>
          <w:szCs w:val="22"/>
        </w:rPr>
        <w:t>*</w:t>
      </w:r>
      <w:r w:rsidR="00307980">
        <w:rPr>
          <w:szCs w:val="22"/>
        </w:rPr>
        <w:t xml:space="preserve"> Auszug</w:t>
      </w:r>
    </w:p>
    <w:p w14:paraId="72DD848B" w14:textId="3CE35DDF" w:rsidR="00017DB9" w:rsidRDefault="00017DB9" w:rsidP="002D7267">
      <w:pPr>
        <w:pStyle w:val="Listenabsatz"/>
        <w:numPr>
          <w:ilvl w:val="0"/>
          <w:numId w:val="13"/>
        </w:numPr>
        <w:ind w:right="-3"/>
      </w:pPr>
      <w:r>
        <w:t>Errichtung durch ein befugtes Unternehmen</w:t>
      </w:r>
      <w:r w:rsidR="00307980">
        <w:t>.</w:t>
      </w:r>
    </w:p>
    <w:p w14:paraId="49005F5B" w14:textId="7085177F" w:rsidR="00307980" w:rsidRDefault="00307980" w:rsidP="002D7267">
      <w:pPr>
        <w:pStyle w:val="Listenabsatz"/>
        <w:numPr>
          <w:ilvl w:val="0"/>
          <w:numId w:val="13"/>
        </w:numPr>
        <w:ind w:right="-3"/>
      </w:pPr>
      <w:r>
        <w:t>Vor Errichtung der Anlage behördliche Bewilligungen einholen.</w:t>
      </w:r>
    </w:p>
    <w:p w14:paraId="54AAE45E" w14:textId="77777777" w:rsidR="00017DB9" w:rsidRPr="00017DB9" w:rsidRDefault="00017DB9" w:rsidP="002D7267">
      <w:pPr>
        <w:pStyle w:val="Default"/>
        <w:numPr>
          <w:ilvl w:val="0"/>
          <w:numId w:val="13"/>
        </w:numPr>
        <w:ind w:right="-3"/>
        <w:rPr>
          <w:rFonts w:ascii="Times" w:hAnsi="Times" w:cstheme="minorBidi"/>
          <w:color w:val="auto"/>
          <w:sz w:val="22"/>
        </w:rPr>
      </w:pPr>
      <w:r w:rsidRPr="00017DB9">
        <w:rPr>
          <w:rFonts w:ascii="Times" w:hAnsi="Times" w:cstheme="minorBidi"/>
          <w:color w:val="auto"/>
          <w:sz w:val="22"/>
        </w:rPr>
        <w:t xml:space="preserve">Förderansuchen können längstens 12 Monate ab Rechnungsdatum eingebracht werden. </w:t>
      </w:r>
    </w:p>
    <w:p w14:paraId="6B3AA04D" w14:textId="40BB8460" w:rsidR="00F1142E" w:rsidRPr="00F1142E" w:rsidRDefault="00017DB9" w:rsidP="002D7267">
      <w:pPr>
        <w:pStyle w:val="Default"/>
        <w:ind w:left="720" w:right="-3"/>
        <w:rPr>
          <w:rFonts w:ascii="Times" w:hAnsi="Times" w:cstheme="minorBidi"/>
          <w:color w:val="auto"/>
          <w:sz w:val="22"/>
        </w:rPr>
      </w:pPr>
      <w:r w:rsidRPr="00017DB9">
        <w:rPr>
          <w:rFonts w:ascii="Times" w:hAnsi="Times" w:cstheme="minorBidi"/>
          <w:color w:val="auto"/>
          <w:sz w:val="22"/>
        </w:rPr>
        <w:t xml:space="preserve">Bei Vorhaben, die erst mit der Erteilung der Benützungsfreigabe oder der Inbetriebnahme durch das ausführende Unternehmen als abgeschlossen gelten, gilt die 6-Monatsfrist ab Erteilung der Benützungsfreigabe oder der Inbetriebnahme. </w:t>
      </w:r>
    </w:p>
    <w:p w14:paraId="3BE3AE4E" w14:textId="15B50525" w:rsidR="00F1142E" w:rsidRPr="00F1142E" w:rsidRDefault="00F1142E" w:rsidP="002D7267">
      <w:pPr>
        <w:pStyle w:val="Default"/>
        <w:numPr>
          <w:ilvl w:val="0"/>
          <w:numId w:val="13"/>
        </w:numPr>
        <w:ind w:right="-3"/>
        <w:rPr>
          <w:rFonts w:ascii="Times" w:hAnsi="Times" w:cstheme="minorBidi"/>
          <w:color w:val="auto"/>
          <w:sz w:val="22"/>
        </w:rPr>
      </w:pPr>
      <w:r w:rsidRPr="00F1142E">
        <w:rPr>
          <w:rFonts w:ascii="Times" w:hAnsi="Times" w:cstheme="minorBidi"/>
          <w:color w:val="auto"/>
          <w:sz w:val="22"/>
        </w:rPr>
        <w:t xml:space="preserve">Bei wassergeführten Biomasse-Feuerungsanlagen, die im Wohnraum aufgestellt sind und gemäß technischen Richtlinien als Hauszentralheizung mit Biomasse gelten, kann die zutreffende Förderhöhe nur in Kombination mit einer Alternativenergieanlage (thermische Solaranlage oder Wärmepumpe) zur Warmwasserbereitung gewährt werden. </w:t>
      </w:r>
    </w:p>
    <w:p w14:paraId="3CE00C63" w14:textId="4DB8C603" w:rsidR="00CB114A" w:rsidRPr="00CB114A" w:rsidRDefault="00F1142E" w:rsidP="002D7267">
      <w:pPr>
        <w:pStyle w:val="Default"/>
        <w:numPr>
          <w:ilvl w:val="0"/>
          <w:numId w:val="13"/>
        </w:numPr>
        <w:ind w:right="-3"/>
        <w:rPr>
          <w:rFonts w:ascii="Times" w:hAnsi="Times" w:cstheme="minorBidi"/>
          <w:color w:val="auto"/>
          <w:sz w:val="22"/>
        </w:rPr>
      </w:pPr>
      <w:r w:rsidRPr="00F1142E">
        <w:rPr>
          <w:rFonts w:ascii="Times" w:hAnsi="Times" w:cstheme="minorBidi"/>
          <w:color w:val="auto"/>
          <w:sz w:val="22"/>
        </w:rPr>
        <w:t xml:space="preserve">Eine Förderung von Anlagen zur Bereitstellung von Raumwärme wird nur dann gewährt, wenn ein Anschluss an ein bestehendes Fern- / Nah-Wärmenetz nicht wirtschaftlich ist. Der Nachweis </w:t>
      </w:r>
      <w:r>
        <w:rPr>
          <w:rFonts w:ascii="Times" w:hAnsi="Times" w:cstheme="minorBidi"/>
          <w:color w:val="auto"/>
          <w:sz w:val="22"/>
        </w:rPr>
        <w:t xml:space="preserve">über den nicht wirtschaftlichen Anschluss an ein Fern- / Nah-Wärmenetz ist vom </w:t>
      </w:r>
      <w:r w:rsidR="00CB114A">
        <w:rPr>
          <w:rFonts w:ascii="Times" w:hAnsi="Times" w:cstheme="minorBidi"/>
          <w:color w:val="auto"/>
          <w:sz w:val="22"/>
        </w:rPr>
        <w:t>Förderwerber zu</w:t>
      </w:r>
      <w:r>
        <w:rPr>
          <w:rFonts w:ascii="Times" w:hAnsi="Times" w:cstheme="minorBidi"/>
          <w:color w:val="auto"/>
          <w:sz w:val="22"/>
        </w:rPr>
        <w:t xml:space="preserve"> erbringen. </w:t>
      </w:r>
    </w:p>
    <w:p w14:paraId="5A1AEB14" w14:textId="744FF61E" w:rsidR="00F1142E" w:rsidRDefault="00F1142E" w:rsidP="002D7267">
      <w:pPr>
        <w:pStyle w:val="Default"/>
        <w:numPr>
          <w:ilvl w:val="0"/>
          <w:numId w:val="13"/>
        </w:numPr>
        <w:ind w:right="-3"/>
        <w:rPr>
          <w:rFonts w:ascii="Times" w:hAnsi="Times" w:cstheme="minorBidi"/>
          <w:color w:val="auto"/>
          <w:sz w:val="22"/>
        </w:rPr>
      </w:pPr>
      <w:r w:rsidRPr="00F1142E">
        <w:rPr>
          <w:rFonts w:ascii="Times" w:hAnsi="Times" w:cstheme="minorBidi"/>
          <w:color w:val="auto"/>
          <w:sz w:val="22"/>
        </w:rPr>
        <w:t xml:space="preserve">Doppelförderungen von Alternativenergieanlagen sind im Rahmen dieser Richtlinie in Bezug auf sämtliche andere öffentliche Landes- oder Bundesförderungen nicht zulässig. </w:t>
      </w:r>
    </w:p>
    <w:p w14:paraId="3AA1E44B" w14:textId="0F655A9E" w:rsidR="00F1142E" w:rsidRDefault="00F1142E" w:rsidP="002D7267">
      <w:pPr>
        <w:pStyle w:val="Default"/>
        <w:ind w:left="720" w:right="-3"/>
        <w:rPr>
          <w:rFonts w:ascii="Times" w:hAnsi="Times" w:cstheme="minorBidi"/>
          <w:color w:val="auto"/>
          <w:sz w:val="18"/>
        </w:rPr>
      </w:pPr>
    </w:p>
    <w:p w14:paraId="3E521A4B" w14:textId="576C4E30" w:rsidR="00F1142E" w:rsidRPr="00BA4F83" w:rsidRDefault="00F1142E" w:rsidP="002D7267">
      <w:pPr>
        <w:pStyle w:val="Default"/>
        <w:ind w:left="720" w:right="-3"/>
        <w:rPr>
          <w:rFonts w:ascii="Times" w:hAnsi="Times" w:cstheme="minorBidi"/>
          <w:color w:val="auto"/>
          <w:sz w:val="20"/>
          <w:szCs w:val="21"/>
        </w:rPr>
      </w:pPr>
      <w:r w:rsidRPr="00BA4F83">
        <w:rPr>
          <w:rFonts w:ascii="Times" w:hAnsi="Times" w:cstheme="minorBidi"/>
          <w:color w:val="auto"/>
          <w:sz w:val="20"/>
          <w:szCs w:val="21"/>
        </w:rPr>
        <w:t xml:space="preserve">*Alle Voraussetzungen finden Sie </w:t>
      </w:r>
      <w:r w:rsidR="00BA4F83" w:rsidRPr="00BA4F83">
        <w:rPr>
          <w:rFonts w:ascii="Times" w:hAnsi="Times" w:cstheme="minorBidi"/>
          <w:color w:val="auto"/>
          <w:sz w:val="20"/>
          <w:szCs w:val="21"/>
        </w:rPr>
        <w:t>unter</w:t>
      </w:r>
      <w:r w:rsidRPr="00BA4F83">
        <w:rPr>
          <w:rFonts w:ascii="Times" w:hAnsi="Times" w:cstheme="minorBidi"/>
          <w:color w:val="auto"/>
          <w:sz w:val="20"/>
          <w:szCs w:val="21"/>
        </w:rPr>
        <w:t xml:space="preserve">: </w:t>
      </w:r>
    </w:p>
    <w:p w14:paraId="71006DDD" w14:textId="5548ECED" w:rsidR="00BA4F83" w:rsidRPr="00BA4F83" w:rsidRDefault="00764811" w:rsidP="002D7267">
      <w:pPr>
        <w:pStyle w:val="Default"/>
        <w:ind w:left="720" w:right="-3"/>
        <w:rPr>
          <w:sz w:val="21"/>
          <w:szCs w:val="21"/>
        </w:rPr>
      </w:pPr>
      <w:hyperlink r:id="rId11" w:history="1">
        <w:r w:rsidR="00BA4F83" w:rsidRPr="00BA4F83">
          <w:rPr>
            <w:rStyle w:val="Hyperlink"/>
            <w:sz w:val="21"/>
            <w:szCs w:val="21"/>
          </w:rPr>
          <w:t>https://apps.bgld.gv.at/web/formulare.nsf/fachbereich.xsp?fachbereich=BW</w:t>
        </w:r>
      </w:hyperlink>
    </w:p>
    <w:p w14:paraId="5F5FA8E6" w14:textId="77777777" w:rsidR="00BA4F83" w:rsidRDefault="00BA4F83" w:rsidP="002D7267">
      <w:pPr>
        <w:pStyle w:val="Default"/>
        <w:ind w:left="720" w:right="-3"/>
      </w:pPr>
    </w:p>
    <w:p w14:paraId="6C872B02" w14:textId="6EFFFFB1" w:rsidR="00F1142E" w:rsidRDefault="00F1142E" w:rsidP="002D7267">
      <w:pPr>
        <w:pStyle w:val="berschrift1"/>
        <w:ind w:left="0" w:right="-3"/>
        <w:rPr>
          <w:szCs w:val="22"/>
        </w:rPr>
      </w:pPr>
      <w:r>
        <w:rPr>
          <w:szCs w:val="22"/>
        </w:rPr>
        <w:t xml:space="preserve">Technische Fördervoraussetzung bei </w:t>
      </w:r>
      <w:r w:rsidR="008F6DC4">
        <w:rPr>
          <w:szCs w:val="22"/>
        </w:rPr>
        <w:t xml:space="preserve">händisch beschickten </w:t>
      </w:r>
      <w:r>
        <w:rPr>
          <w:szCs w:val="22"/>
        </w:rPr>
        <w:t xml:space="preserve">Biomasseanlagen: </w:t>
      </w:r>
    </w:p>
    <w:p w14:paraId="6C3D4A89" w14:textId="2EFA13B4" w:rsidR="00F1142E" w:rsidRDefault="00F1142E" w:rsidP="002D7267">
      <w:pPr>
        <w:pStyle w:val="Listenabsatz"/>
        <w:numPr>
          <w:ilvl w:val="0"/>
          <w:numId w:val="14"/>
        </w:numPr>
        <w:ind w:right="-3"/>
      </w:pPr>
      <w:r>
        <w:t xml:space="preserve">Wirkungsgrad bei mind. 90% bei </w:t>
      </w:r>
      <w:r w:rsidR="00CB114A">
        <w:t>Volllast</w:t>
      </w:r>
      <w:r>
        <w:t xml:space="preserve"> und elektronische Leistungs- und Feuerungsregelung</w:t>
      </w:r>
    </w:p>
    <w:p w14:paraId="3D18D1A9" w14:textId="6030A4B1" w:rsidR="00F1142E" w:rsidRDefault="00F1142E" w:rsidP="002D7267">
      <w:pPr>
        <w:pStyle w:val="Listenabsatz"/>
        <w:numPr>
          <w:ilvl w:val="0"/>
          <w:numId w:val="14"/>
        </w:numPr>
        <w:ind w:right="-3"/>
      </w:pPr>
      <w:r>
        <w:t>Heizlastberechnung (max. 10 Jahre alt)</w:t>
      </w:r>
      <w:r w:rsidR="00666489">
        <w:t>.</w:t>
      </w:r>
    </w:p>
    <w:p w14:paraId="0620C31C" w14:textId="2842AD32" w:rsidR="00E254DF" w:rsidRDefault="00F1142E" w:rsidP="002D7267">
      <w:pPr>
        <w:pStyle w:val="Listenabsatz"/>
        <w:numPr>
          <w:ilvl w:val="0"/>
          <w:numId w:val="14"/>
        </w:numPr>
        <w:ind w:right="-3"/>
      </w:pPr>
      <w:r>
        <w:t xml:space="preserve">Pufferspeicher für händisch beschickte </w:t>
      </w:r>
      <w:r w:rsidR="008F6DC4">
        <w:t>Heizanlagen – siehe nachfolgende Tabelle</w:t>
      </w:r>
      <w:r w:rsidR="00666489">
        <w:t>.</w:t>
      </w:r>
    </w:p>
    <w:p w14:paraId="20FB180E" w14:textId="77777777" w:rsidR="002C4A52" w:rsidRPr="008F6DC4" w:rsidRDefault="002C4A52" w:rsidP="002D7267">
      <w:pPr>
        <w:pStyle w:val="Listenabsatz"/>
        <w:ind w:right="-3"/>
      </w:pPr>
    </w:p>
    <w:tbl>
      <w:tblPr>
        <w:tblStyle w:val="HelleListe-Akzent2"/>
        <w:tblW w:w="9062" w:type="dxa"/>
        <w:tblLook w:val="0000" w:firstRow="0" w:lastRow="0" w:firstColumn="0" w:lastColumn="0" w:noHBand="0" w:noVBand="0"/>
      </w:tblPr>
      <w:tblGrid>
        <w:gridCol w:w="4810"/>
        <w:gridCol w:w="479"/>
        <w:gridCol w:w="1665"/>
        <w:gridCol w:w="142"/>
        <w:gridCol w:w="1966"/>
      </w:tblGrid>
      <w:tr w:rsidR="002C4A52" w:rsidRPr="008F6DC4" w14:paraId="3A588574" w14:textId="0B89FFAC" w:rsidTr="002C4A52">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4810" w:type="dxa"/>
            <w:tcBorders>
              <w:right w:val="nil"/>
            </w:tcBorders>
            <w:shd w:val="clear" w:color="auto" w:fill="800000"/>
          </w:tcPr>
          <w:p w14:paraId="652E3FF5" w14:textId="307E2E98" w:rsidR="003F5D08" w:rsidRPr="008F6DC4" w:rsidRDefault="003F5D08" w:rsidP="002D7267">
            <w:pPr>
              <w:ind w:right="-3"/>
              <w:jc w:val="both"/>
              <w:rPr>
                <w:rFonts w:cs="Times-Roman"/>
                <w:b/>
                <w:color w:val="FFFFFF" w:themeColor="background1"/>
                <w:szCs w:val="22"/>
              </w:rPr>
            </w:pPr>
            <w:r w:rsidRPr="008F6DC4">
              <w:rPr>
                <w:rFonts w:cs="Times-Roman"/>
                <w:b/>
                <w:color w:val="FFFFFF" w:themeColor="background1"/>
                <w:szCs w:val="22"/>
              </w:rPr>
              <w:t>Kesselnennleistung</w:t>
            </w:r>
          </w:p>
        </w:tc>
        <w:tc>
          <w:tcPr>
            <w:tcW w:w="4252" w:type="dxa"/>
            <w:gridSpan w:val="4"/>
            <w:tcBorders>
              <w:left w:val="nil"/>
            </w:tcBorders>
            <w:shd w:val="clear" w:color="auto" w:fill="800000"/>
          </w:tcPr>
          <w:p w14:paraId="48221DC9" w14:textId="70816EA2" w:rsidR="003F5D08" w:rsidRPr="008F6DC4" w:rsidRDefault="003F5D08"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b/>
                <w:color w:val="FFFFFF" w:themeColor="background1"/>
                <w:szCs w:val="22"/>
              </w:rPr>
            </w:pPr>
            <w:r w:rsidRPr="008F6DC4">
              <w:rPr>
                <w:rFonts w:cs="Times-Roman"/>
                <w:b/>
                <w:color w:val="FFFFFF" w:themeColor="background1"/>
                <w:szCs w:val="22"/>
              </w:rPr>
              <w:t>erforderliches Mindest-Pufferspeichervolumen:</w:t>
            </w:r>
          </w:p>
        </w:tc>
      </w:tr>
      <w:tr w:rsidR="002C4A52" w:rsidRPr="008F6DC4" w14:paraId="3FF15943" w14:textId="0561DAD9" w:rsidTr="002C4A52">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2BE9B5D4" w14:textId="3CCAF3A4" w:rsidR="003F5D08" w:rsidRPr="008F6DC4" w:rsidRDefault="00E254DF" w:rsidP="002D7267">
            <w:pPr>
              <w:ind w:right="-3"/>
              <w:jc w:val="both"/>
              <w:rPr>
                <w:rFonts w:cs="Times-Roman"/>
                <w:szCs w:val="22"/>
              </w:rPr>
            </w:pPr>
            <w:r w:rsidRPr="008F6DC4">
              <w:rPr>
                <w:rFonts w:cs="Times-Roman"/>
                <w:szCs w:val="22"/>
              </w:rPr>
              <w:t xml:space="preserve"> </w:t>
            </w:r>
            <w:r w:rsidR="003F5D08" w:rsidRPr="008F6DC4">
              <w:rPr>
                <w:rFonts w:cs="Times-Roman"/>
                <w:szCs w:val="22"/>
              </w:rPr>
              <w:t>bis 10 kW</w:t>
            </w:r>
          </w:p>
        </w:tc>
        <w:tc>
          <w:tcPr>
            <w:tcW w:w="4252" w:type="dxa"/>
            <w:gridSpan w:val="4"/>
            <w:tcBorders>
              <w:top w:val="single" w:sz="8" w:space="0" w:color="C0504D" w:themeColor="accent2"/>
              <w:left w:val="nil"/>
              <w:bottom w:val="single" w:sz="8" w:space="0" w:color="C0504D" w:themeColor="accent2"/>
            </w:tcBorders>
          </w:tcPr>
          <w:p w14:paraId="1615672A" w14:textId="792C6A11" w:rsidR="003F5D08" w:rsidRPr="008F6DC4" w:rsidRDefault="003F5D08"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sidRPr="008F6DC4">
              <w:rPr>
                <w:rFonts w:cs="Times-Roman"/>
                <w:szCs w:val="22"/>
              </w:rPr>
              <w:t>500 Liter</w:t>
            </w:r>
          </w:p>
        </w:tc>
      </w:tr>
      <w:tr w:rsidR="002C4A52" w:rsidRPr="008F6DC4" w14:paraId="214E1872" w14:textId="4C0F8D34"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28FA319D" w14:textId="1EF43FEF" w:rsidR="003F5D08" w:rsidRPr="008F6DC4" w:rsidRDefault="003F5D08" w:rsidP="002D7267">
            <w:pPr>
              <w:ind w:right="-3"/>
              <w:jc w:val="both"/>
              <w:rPr>
                <w:rFonts w:cs="Times-Roman"/>
                <w:szCs w:val="22"/>
              </w:rPr>
            </w:pPr>
            <w:r w:rsidRPr="008F6DC4">
              <w:rPr>
                <w:rFonts w:cs="Times-Roman"/>
                <w:szCs w:val="22"/>
              </w:rPr>
              <w:t xml:space="preserve"> über 10 bis </w:t>
            </w:r>
            <w:bookmarkStart w:id="0" w:name="_GoBack"/>
            <w:r w:rsidRPr="008F6DC4">
              <w:rPr>
                <w:rFonts w:cs="Times-Roman"/>
                <w:szCs w:val="22"/>
              </w:rPr>
              <w:t>15</w:t>
            </w:r>
            <w:bookmarkEnd w:id="0"/>
            <w:r w:rsidRPr="008F6DC4">
              <w:rPr>
                <w:rFonts w:cs="Times-Roman"/>
                <w:szCs w:val="22"/>
              </w:rPr>
              <w:t xml:space="preserve"> kW</w:t>
            </w:r>
          </w:p>
        </w:tc>
        <w:tc>
          <w:tcPr>
            <w:tcW w:w="4252" w:type="dxa"/>
            <w:gridSpan w:val="4"/>
            <w:tcBorders>
              <w:left w:val="nil"/>
            </w:tcBorders>
          </w:tcPr>
          <w:p w14:paraId="0BA8D92A" w14:textId="39A58BE2" w:rsidR="003F5D08" w:rsidRPr="008F6DC4" w:rsidRDefault="003F5D08"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sidRPr="008F6DC4">
              <w:rPr>
                <w:rFonts w:cs="Times-Roman"/>
                <w:szCs w:val="22"/>
              </w:rPr>
              <w:t>800 Liter</w:t>
            </w:r>
          </w:p>
        </w:tc>
      </w:tr>
      <w:tr w:rsidR="002C4A52" w:rsidRPr="008F6DC4" w14:paraId="1B8AA506" w14:textId="673F4850" w:rsidTr="002C4A52">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4C0CA109" w14:textId="1A4C2D8E" w:rsidR="003F5D08" w:rsidRPr="008F6DC4" w:rsidRDefault="003F5D08" w:rsidP="002D7267">
            <w:pPr>
              <w:ind w:right="-3"/>
              <w:jc w:val="both"/>
              <w:rPr>
                <w:rFonts w:cs="Times-Roman"/>
                <w:szCs w:val="22"/>
              </w:rPr>
            </w:pPr>
            <w:r w:rsidRPr="008F6DC4">
              <w:rPr>
                <w:rFonts w:cs="Times-Roman"/>
                <w:szCs w:val="22"/>
              </w:rPr>
              <w:t xml:space="preserve"> über 15 bis 20 kW</w:t>
            </w:r>
          </w:p>
        </w:tc>
        <w:tc>
          <w:tcPr>
            <w:tcW w:w="4252" w:type="dxa"/>
            <w:gridSpan w:val="4"/>
            <w:tcBorders>
              <w:top w:val="single" w:sz="8" w:space="0" w:color="C0504D" w:themeColor="accent2"/>
              <w:left w:val="nil"/>
              <w:bottom w:val="single" w:sz="8" w:space="0" w:color="C0504D" w:themeColor="accent2"/>
            </w:tcBorders>
          </w:tcPr>
          <w:p w14:paraId="01C61CF4" w14:textId="251E666D" w:rsidR="003F5D08" w:rsidRPr="008F6DC4" w:rsidRDefault="003F5D08"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sidRPr="008F6DC4">
              <w:rPr>
                <w:rFonts w:cs="Times-Roman"/>
                <w:szCs w:val="22"/>
              </w:rPr>
              <w:t>1.000 Liter</w:t>
            </w:r>
          </w:p>
        </w:tc>
      </w:tr>
      <w:tr w:rsidR="002C4A52" w:rsidRPr="008F6DC4" w14:paraId="09EC470B" w14:textId="5EC3A188"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30E986FC" w14:textId="05084001" w:rsidR="003F5D08" w:rsidRPr="008F6DC4" w:rsidRDefault="003F5D08" w:rsidP="002D7267">
            <w:pPr>
              <w:ind w:right="-3"/>
              <w:jc w:val="both"/>
              <w:rPr>
                <w:rFonts w:cs="Times-Roman"/>
                <w:szCs w:val="22"/>
              </w:rPr>
            </w:pPr>
            <w:r w:rsidRPr="008F6DC4">
              <w:rPr>
                <w:rFonts w:cs="Times-Roman"/>
                <w:szCs w:val="22"/>
              </w:rPr>
              <w:t xml:space="preserve"> über 20 bis 25 kW</w:t>
            </w:r>
          </w:p>
        </w:tc>
        <w:tc>
          <w:tcPr>
            <w:tcW w:w="4252" w:type="dxa"/>
            <w:gridSpan w:val="4"/>
            <w:tcBorders>
              <w:left w:val="nil"/>
            </w:tcBorders>
          </w:tcPr>
          <w:p w14:paraId="1218BB78" w14:textId="5E58858C" w:rsidR="003F5D08" w:rsidRPr="008F6DC4" w:rsidRDefault="003F5D08"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sidRPr="008F6DC4">
              <w:rPr>
                <w:rFonts w:cs="Times-Roman"/>
                <w:szCs w:val="22"/>
              </w:rPr>
              <w:t>1.200 Liter</w:t>
            </w:r>
          </w:p>
        </w:tc>
      </w:tr>
      <w:tr w:rsidR="002C4A52" w:rsidRPr="008F6DC4" w14:paraId="45ECD6F2" w14:textId="1654D938" w:rsidTr="002C4A52">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486E2E23" w14:textId="30ED5A78" w:rsidR="003F5D08" w:rsidRPr="008F6DC4" w:rsidRDefault="003F5D08" w:rsidP="002D7267">
            <w:pPr>
              <w:ind w:right="-3"/>
              <w:jc w:val="both"/>
              <w:rPr>
                <w:rFonts w:cs="Times-Roman"/>
                <w:szCs w:val="22"/>
              </w:rPr>
            </w:pPr>
            <w:r w:rsidRPr="008F6DC4">
              <w:rPr>
                <w:rFonts w:cs="Times-Roman"/>
                <w:szCs w:val="22"/>
              </w:rPr>
              <w:t xml:space="preserve"> über 25 bis 30 kW</w:t>
            </w:r>
          </w:p>
        </w:tc>
        <w:tc>
          <w:tcPr>
            <w:tcW w:w="4252" w:type="dxa"/>
            <w:gridSpan w:val="4"/>
            <w:tcBorders>
              <w:top w:val="single" w:sz="8" w:space="0" w:color="C0504D" w:themeColor="accent2"/>
              <w:left w:val="nil"/>
              <w:bottom w:val="single" w:sz="8" w:space="0" w:color="C0504D" w:themeColor="accent2"/>
            </w:tcBorders>
          </w:tcPr>
          <w:p w14:paraId="501E0984" w14:textId="4008E95D" w:rsidR="003F5D08" w:rsidRPr="008F6DC4" w:rsidRDefault="003F5D08"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sidRPr="008F6DC4">
              <w:rPr>
                <w:rFonts w:cs="Times-Roman"/>
                <w:szCs w:val="22"/>
              </w:rPr>
              <w:t>1.500 Liter</w:t>
            </w:r>
          </w:p>
        </w:tc>
      </w:tr>
      <w:tr w:rsidR="002C4A52" w:rsidRPr="008F6DC4" w14:paraId="3201E41F" w14:textId="013CAC11"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0" w:type="dxa"/>
            <w:tcBorders>
              <w:right w:val="nil"/>
            </w:tcBorders>
          </w:tcPr>
          <w:p w14:paraId="29FEE0C6" w14:textId="05E96C98" w:rsidR="003F5D08" w:rsidRPr="008F6DC4" w:rsidRDefault="003F5D08" w:rsidP="002D7267">
            <w:pPr>
              <w:ind w:right="-3"/>
              <w:jc w:val="both"/>
              <w:rPr>
                <w:rFonts w:cs="Times-Roman"/>
                <w:szCs w:val="22"/>
              </w:rPr>
            </w:pPr>
            <w:r w:rsidRPr="008F6DC4">
              <w:rPr>
                <w:rFonts w:cs="Times-Roman"/>
                <w:szCs w:val="22"/>
              </w:rPr>
              <w:t xml:space="preserve"> über 30 kW</w:t>
            </w:r>
          </w:p>
        </w:tc>
        <w:tc>
          <w:tcPr>
            <w:tcW w:w="4252" w:type="dxa"/>
            <w:gridSpan w:val="4"/>
            <w:tcBorders>
              <w:left w:val="nil"/>
            </w:tcBorders>
          </w:tcPr>
          <w:p w14:paraId="0FA1C000" w14:textId="3E98C5CF" w:rsidR="003F5D08" w:rsidRPr="008F6DC4" w:rsidRDefault="003F5D08"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sidRPr="008F6DC4">
              <w:rPr>
                <w:rFonts w:cs="Times-Roman"/>
                <w:szCs w:val="22"/>
              </w:rPr>
              <w:t>2.000 Liter</w:t>
            </w:r>
          </w:p>
        </w:tc>
      </w:tr>
      <w:tr w:rsidR="002C4A52" w:rsidRPr="008F6DC4" w14:paraId="077344D1" w14:textId="77777777" w:rsidTr="002C4A52">
        <w:tc>
          <w:tcPr>
            <w:cnfStyle w:val="000010000000" w:firstRow="0" w:lastRow="0" w:firstColumn="0" w:lastColumn="0" w:oddVBand="1" w:evenVBand="0" w:oddHBand="0" w:evenHBand="0" w:firstRowFirstColumn="0" w:firstRowLastColumn="0" w:lastRowFirstColumn="0" w:lastRowLastColumn="0"/>
            <w:tcW w:w="4810" w:type="dxa"/>
            <w:tcBorders>
              <w:right w:val="nil"/>
            </w:tcBorders>
            <w:shd w:val="clear" w:color="auto" w:fill="632423" w:themeFill="accent2" w:themeFillShade="80"/>
          </w:tcPr>
          <w:p w14:paraId="191FC718" w14:textId="0A59E974" w:rsidR="008F6DC4" w:rsidRPr="008F6DC4" w:rsidRDefault="008F6DC4" w:rsidP="002D7267">
            <w:pPr>
              <w:ind w:right="-3"/>
              <w:jc w:val="both"/>
              <w:rPr>
                <w:rFonts w:cs="Times-Roman"/>
                <w:szCs w:val="22"/>
              </w:rPr>
            </w:pPr>
            <w:r>
              <w:rPr>
                <w:rFonts w:cs="Times-Roman"/>
                <w:szCs w:val="22"/>
              </w:rPr>
              <w:t>Bonus</w:t>
            </w:r>
            <w:r w:rsidR="00666489">
              <w:rPr>
                <w:rFonts w:cs="Times-Roman"/>
                <w:szCs w:val="22"/>
              </w:rPr>
              <w:t xml:space="preserve"> zum Grundbetrag</w:t>
            </w:r>
            <w:r>
              <w:rPr>
                <w:rFonts w:cs="Times-Roman"/>
                <w:szCs w:val="22"/>
              </w:rPr>
              <w:t xml:space="preserve"> bei folgenden Maßnahmen </w:t>
            </w:r>
          </w:p>
        </w:tc>
        <w:tc>
          <w:tcPr>
            <w:tcW w:w="4252" w:type="dxa"/>
            <w:gridSpan w:val="4"/>
            <w:tcBorders>
              <w:left w:val="nil"/>
            </w:tcBorders>
            <w:shd w:val="clear" w:color="auto" w:fill="632423" w:themeFill="accent2" w:themeFillShade="80"/>
          </w:tcPr>
          <w:p w14:paraId="7325AD38" w14:textId="36970CEA" w:rsidR="008F6DC4" w:rsidRP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Höhe</w:t>
            </w:r>
          </w:p>
        </w:tc>
      </w:tr>
      <w:tr w:rsidR="002C4A52" w:rsidRPr="008F6DC4" w14:paraId="6CFA91C4" w14:textId="77777777"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0" w:type="dxa"/>
            <w:tcBorders>
              <w:right w:val="nil"/>
            </w:tcBorders>
            <w:shd w:val="clear" w:color="auto" w:fill="auto"/>
          </w:tcPr>
          <w:p w14:paraId="3CCB9B3E" w14:textId="037BBCA0" w:rsidR="008F6DC4" w:rsidRDefault="008F6DC4" w:rsidP="002D7267">
            <w:pPr>
              <w:ind w:right="-3"/>
              <w:jc w:val="both"/>
              <w:rPr>
                <w:rFonts w:cs="Times-Roman"/>
                <w:szCs w:val="22"/>
              </w:rPr>
            </w:pPr>
            <w:r>
              <w:rPr>
                <w:rFonts w:cs="Times-Roman"/>
                <w:szCs w:val="22"/>
              </w:rPr>
              <w:t>Feinstaubfilter</w:t>
            </w:r>
          </w:p>
        </w:tc>
        <w:tc>
          <w:tcPr>
            <w:tcW w:w="4252" w:type="dxa"/>
            <w:gridSpan w:val="4"/>
            <w:tcBorders>
              <w:left w:val="nil"/>
            </w:tcBorders>
            <w:shd w:val="clear" w:color="auto" w:fill="auto"/>
          </w:tcPr>
          <w:p w14:paraId="6A0F6DF7" w14:textId="5E1205A2"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€ 300,-</w:t>
            </w:r>
          </w:p>
        </w:tc>
      </w:tr>
      <w:tr w:rsidR="002C4A52" w:rsidRPr="008F6DC4" w14:paraId="05D8216A" w14:textId="77777777" w:rsidTr="002C4A52">
        <w:tc>
          <w:tcPr>
            <w:cnfStyle w:val="000010000000" w:firstRow="0" w:lastRow="0" w:firstColumn="0" w:lastColumn="0" w:oddVBand="1" w:evenVBand="0" w:oddHBand="0" w:evenHBand="0" w:firstRowFirstColumn="0" w:firstRowLastColumn="0" w:lastRowFirstColumn="0" w:lastRowLastColumn="0"/>
            <w:tcW w:w="4810" w:type="dxa"/>
            <w:tcBorders>
              <w:right w:val="nil"/>
            </w:tcBorders>
            <w:shd w:val="clear" w:color="auto" w:fill="auto"/>
          </w:tcPr>
          <w:p w14:paraId="634235ED" w14:textId="15F186CB" w:rsidR="008F6DC4" w:rsidRDefault="008F6DC4" w:rsidP="002D7267">
            <w:pPr>
              <w:ind w:right="-3"/>
              <w:jc w:val="both"/>
              <w:rPr>
                <w:rFonts w:cs="Times-Roman"/>
                <w:szCs w:val="22"/>
              </w:rPr>
            </w:pPr>
            <w:r>
              <w:rPr>
                <w:rFonts w:cs="Times-Roman"/>
                <w:szCs w:val="22"/>
              </w:rPr>
              <w:t>Pufferspeicher mit mind. 100 Liter / kW</w:t>
            </w:r>
          </w:p>
        </w:tc>
        <w:tc>
          <w:tcPr>
            <w:tcW w:w="4252" w:type="dxa"/>
            <w:gridSpan w:val="4"/>
            <w:tcBorders>
              <w:left w:val="nil"/>
            </w:tcBorders>
            <w:shd w:val="clear" w:color="auto" w:fill="auto"/>
          </w:tcPr>
          <w:p w14:paraId="7E1BA6BA" w14:textId="14F31C0E"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€ 100,-</w:t>
            </w:r>
          </w:p>
        </w:tc>
      </w:tr>
      <w:tr w:rsidR="002C4A52" w:rsidRPr="008F6DC4" w14:paraId="4E0B2C5B" w14:textId="77777777"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6" w:type="dxa"/>
            <w:gridSpan w:val="4"/>
            <w:tcBorders>
              <w:right w:val="nil"/>
            </w:tcBorders>
            <w:shd w:val="clear" w:color="auto" w:fill="auto"/>
          </w:tcPr>
          <w:p w14:paraId="15B7F2CC" w14:textId="1DEC4449" w:rsidR="008F6DC4" w:rsidRDefault="008F6DC4" w:rsidP="002D7267">
            <w:pPr>
              <w:ind w:right="-3"/>
              <w:jc w:val="both"/>
              <w:rPr>
                <w:rFonts w:cs="Times-Roman"/>
                <w:szCs w:val="22"/>
              </w:rPr>
            </w:pPr>
            <w:r>
              <w:rPr>
                <w:rFonts w:cs="Times-Roman"/>
                <w:szCs w:val="22"/>
              </w:rPr>
              <w:t>HWB des sanierten Objektes unter 12.600 kWh/a</w:t>
            </w:r>
          </w:p>
        </w:tc>
        <w:tc>
          <w:tcPr>
            <w:tcW w:w="1966" w:type="dxa"/>
            <w:tcBorders>
              <w:left w:val="nil"/>
            </w:tcBorders>
            <w:shd w:val="clear" w:color="auto" w:fill="auto"/>
          </w:tcPr>
          <w:p w14:paraId="4CEA27F1" w14:textId="0CDEF8C8"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2C4A52" w:rsidRPr="008F6DC4" w14:paraId="2C04FE24" w14:textId="77777777" w:rsidTr="002C4A52">
        <w:tc>
          <w:tcPr>
            <w:cnfStyle w:val="000010000000" w:firstRow="0" w:lastRow="0" w:firstColumn="0" w:lastColumn="0" w:oddVBand="1" w:evenVBand="0" w:oddHBand="0" w:evenHBand="0" w:firstRowFirstColumn="0" w:firstRowLastColumn="0" w:lastRowFirstColumn="0" w:lastRowLastColumn="0"/>
            <w:tcW w:w="5289" w:type="dxa"/>
            <w:gridSpan w:val="2"/>
            <w:tcBorders>
              <w:right w:val="nil"/>
            </w:tcBorders>
            <w:shd w:val="clear" w:color="auto" w:fill="auto"/>
          </w:tcPr>
          <w:p w14:paraId="4E54B285" w14:textId="548B7CF2" w:rsidR="008F6DC4" w:rsidRDefault="008F6DC4" w:rsidP="002D7267">
            <w:pPr>
              <w:ind w:right="-3"/>
              <w:jc w:val="both"/>
              <w:rPr>
                <w:rFonts w:cs="Times-Roman"/>
                <w:szCs w:val="22"/>
              </w:rPr>
            </w:pPr>
            <w:r>
              <w:rPr>
                <w:rFonts w:cs="Times-Roman"/>
                <w:szCs w:val="22"/>
              </w:rPr>
              <w:t>HWB des Neubaus unter 2700 kWh/a</w:t>
            </w:r>
          </w:p>
        </w:tc>
        <w:tc>
          <w:tcPr>
            <w:tcW w:w="3773" w:type="dxa"/>
            <w:gridSpan w:val="3"/>
            <w:tcBorders>
              <w:left w:val="nil"/>
            </w:tcBorders>
            <w:shd w:val="clear" w:color="auto" w:fill="auto"/>
          </w:tcPr>
          <w:p w14:paraId="2251826B" w14:textId="30CA6935"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2C4A52" w:rsidRPr="008F6DC4" w14:paraId="35E68FAC" w14:textId="77777777" w:rsidTr="002C4A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89" w:type="dxa"/>
            <w:gridSpan w:val="2"/>
            <w:tcBorders>
              <w:right w:val="nil"/>
            </w:tcBorders>
            <w:shd w:val="clear" w:color="auto" w:fill="auto"/>
          </w:tcPr>
          <w:p w14:paraId="2117286E" w14:textId="484C2743" w:rsidR="008F6DC4" w:rsidRDefault="00B6383C" w:rsidP="002D7267">
            <w:pPr>
              <w:ind w:right="-3"/>
              <w:jc w:val="both"/>
              <w:rPr>
                <w:rFonts w:cs="Times-Roman"/>
                <w:szCs w:val="22"/>
              </w:rPr>
            </w:pPr>
            <w:r>
              <w:rPr>
                <w:rFonts w:cs="Times-Roman"/>
                <w:szCs w:val="22"/>
              </w:rPr>
              <w:t>Umstieg vom alten Gaskessel</w:t>
            </w:r>
          </w:p>
        </w:tc>
        <w:tc>
          <w:tcPr>
            <w:tcW w:w="3773" w:type="dxa"/>
            <w:gridSpan w:val="3"/>
            <w:tcBorders>
              <w:left w:val="nil"/>
            </w:tcBorders>
            <w:shd w:val="clear" w:color="auto" w:fill="auto"/>
          </w:tcPr>
          <w:p w14:paraId="1076BABD" w14:textId="1120488F"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2C4A52" w:rsidRPr="008F6DC4" w14:paraId="4E254D91" w14:textId="77777777" w:rsidTr="002C4A52">
        <w:tc>
          <w:tcPr>
            <w:cnfStyle w:val="000010000000" w:firstRow="0" w:lastRow="0" w:firstColumn="0" w:lastColumn="0" w:oddVBand="1" w:evenVBand="0" w:oddHBand="0" w:evenHBand="0" w:firstRowFirstColumn="0" w:firstRowLastColumn="0" w:lastRowFirstColumn="0" w:lastRowLastColumn="0"/>
            <w:tcW w:w="6954" w:type="dxa"/>
            <w:gridSpan w:val="3"/>
            <w:tcBorders>
              <w:right w:val="nil"/>
            </w:tcBorders>
            <w:shd w:val="clear" w:color="auto" w:fill="auto"/>
          </w:tcPr>
          <w:p w14:paraId="380049C1" w14:textId="67B42822" w:rsidR="008F6DC4" w:rsidRDefault="008F6DC4" w:rsidP="002D7267">
            <w:pPr>
              <w:ind w:right="-3"/>
              <w:jc w:val="both"/>
              <w:rPr>
                <w:rFonts w:cs="Times-Roman"/>
                <w:szCs w:val="22"/>
              </w:rPr>
            </w:pPr>
            <w:r>
              <w:rPr>
                <w:rFonts w:cs="Times-Roman"/>
                <w:szCs w:val="22"/>
              </w:rPr>
              <w:t>Umstieg von alten Ölkessel oder Direkt-Stromheizung</w:t>
            </w:r>
          </w:p>
        </w:tc>
        <w:tc>
          <w:tcPr>
            <w:tcW w:w="2108" w:type="dxa"/>
            <w:gridSpan w:val="2"/>
            <w:tcBorders>
              <w:left w:val="nil"/>
            </w:tcBorders>
            <w:shd w:val="clear" w:color="auto" w:fill="auto"/>
          </w:tcPr>
          <w:p w14:paraId="7E1A330C" w14:textId="4680E032"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bl>
    <w:p w14:paraId="51A3B009" w14:textId="2F7DFB08" w:rsidR="008F6DC4" w:rsidRDefault="008F6DC4" w:rsidP="002D7267">
      <w:pPr>
        <w:pStyle w:val="berschrift1"/>
        <w:ind w:left="0" w:right="-3"/>
        <w:rPr>
          <w:szCs w:val="22"/>
        </w:rPr>
      </w:pPr>
      <w:r>
        <w:rPr>
          <w:szCs w:val="22"/>
        </w:rPr>
        <w:lastRenderedPageBreak/>
        <w:t xml:space="preserve">Technische Fördervoraussetzung bei automatisch beschickten Biomasseanlagen: </w:t>
      </w:r>
    </w:p>
    <w:p w14:paraId="2C45330D" w14:textId="77777777" w:rsidR="008F6DC4" w:rsidRPr="008F6DC4" w:rsidRDefault="008F6DC4" w:rsidP="002D7267">
      <w:pPr>
        <w:pStyle w:val="Listenabsatz"/>
        <w:numPr>
          <w:ilvl w:val="0"/>
          <w:numId w:val="14"/>
        </w:numPr>
        <w:ind w:right="-3"/>
      </w:pPr>
      <w:r w:rsidRPr="008F6DC4">
        <w:t xml:space="preserve">Biomassezentralheizungsanlagen mit automatischer Beschickung müssen mit einer im Gerät eingebauten elektronischen Leistungs- und Feuerungsregelung (Lambdasonde) ausgestattet sein und einen Wirkungsgrad von mindestens 90% bei Volllast aufweisen. </w:t>
      </w:r>
    </w:p>
    <w:p w14:paraId="75C4525C" w14:textId="77777777" w:rsidR="008F6DC4" w:rsidRPr="008F6DC4" w:rsidRDefault="008F6DC4" w:rsidP="002D7267">
      <w:pPr>
        <w:pStyle w:val="Listenabsatz"/>
        <w:numPr>
          <w:ilvl w:val="0"/>
          <w:numId w:val="14"/>
        </w:numPr>
        <w:ind w:right="-3"/>
      </w:pPr>
      <w:r w:rsidRPr="008F6DC4">
        <w:t xml:space="preserve">Eine Heizlastberechnung oder ein gültiger Energieausweis (darf nicht älter als 10 Jahre sein) für das Objekt ist in jedem Fall vorzulegen. </w:t>
      </w:r>
    </w:p>
    <w:p w14:paraId="6BAC5A44" w14:textId="07988F0F" w:rsidR="008F6DC4" w:rsidRPr="008F6DC4" w:rsidRDefault="008F6DC4" w:rsidP="002D7267">
      <w:pPr>
        <w:pStyle w:val="Listenabsatz"/>
        <w:numPr>
          <w:ilvl w:val="0"/>
          <w:numId w:val="14"/>
        </w:numPr>
        <w:ind w:right="-3"/>
      </w:pPr>
      <w:r w:rsidRPr="008F6DC4">
        <w:t>Ein Pufferspeicher mit mindestens 500 Litern Fassungsvermögen ist dann erforderlich, wenn die Heizlast des Gebäudes multipliziert mit dem Faktor 0,6 kleiner als die kleinste Teilleistung des Kessels ist.</w:t>
      </w:r>
    </w:p>
    <w:p w14:paraId="2384953A" w14:textId="65628D2E" w:rsidR="00E254DF" w:rsidRDefault="00E254DF" w:rsidP="002D7267">
      <w:pPr>
        <w:pStyle w:val="Listenabsatz"/>
        <w:ind w:right="-3"/>
      </w:pPr>
    </w:p>
    <w:tbl>
      <w:tblPr>
        <w:tblStyle w:val="HelleListe-Akzent2"/>
        <w:tblW w:w="9062" w:type="dxa"/>
        <w:tblLook w:val="0000" w:firstRow="0" w:lastRow="0" w:firstColumn="0" w:lastColumn="0" w:noHBand="0" w:noVBand="0"/>
      </w:tblPr>
      <w:tblGrid>
        <w:gridCol w:w="3752"/>
        <w:gridCol w:w="1341"/>
        <w:gridCol w:w="320"/>
        <w:gridCol w:w="139"/>
        <w:gridCol w:w="1937"/>
        <w:gridCol w:w="1573"/>
      </w:tblGrid>
      <w:tr w:rsidR="00666489" w:rsidRPr="008F6DC4" w14:paraId="394DCD5E" w14:textId="77777777" w:rsidTr="006664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93" w:type="dxa"/>
            <w:gridSpan w:val="2"/>
            <w:tcBorders>
              <w:right w:val="nil"/>
            </w:tcBorders>
            <w:shd w:val="clear" w:color="auto" w:fill="632423" w:themeFill="accent2" w:themeFillShade="80"/>
          </w:tcPr>
          <w:p w14:paraId="6F66201C" w14:textId="611708DC" w:rsidR="008F6DC4" w:rsidRPr="008F6DC4" w:rsidRDefault="008F6DC4" w:rsidP="002D7267">
            <w:pPr>
              <w:ind w:right="-3"/>
              <w:jc w:val="both"/>
              <w:rPr>
                <w:rFonts w:cs="Times-Roman"/>
                <w:szCs w:val="22"/>
              </w:rPr>
            </w:pPr>
            <w:r>
              <w:rPr>
                <w:rFonts w:cs="Times-Roman"/>
                <w:szCs w:val="22"/>
              </w:rPr>
              <w:t xml:space="preserve">Bonus </w:t>
            </w:r>
            <w:r w:rsidR="00666489">
              <w:rPr>
                <w:rFonts w:cs="Times-Roman"/>
                <w:szCs w:val="22"/>
              </w:rPr>
              <w:t xml:space="preserve">zum Grundbetrag </w:t>
            </w:r>
            <w:r>
              <w:rPr>
                <w:rFonts w:cs="Times-Roman"/>
                <w:szCs w:val="22"/>
              </w:rPr>
              <w:t xml:space="preserve">bei folgenden Maßnahmen </w:t>
            </w:r>
          </w:p>
        </w:tc>
        <w:tc>
          <w:tcPr>
            <w:tcW w:w="3969" w:type="dxa"/>
            <w:gridSpan w:val="4"/>
            <w:tcBorders>
              <w:left w:val="nil"/>
            </w:tcBorders>
            <w:shd w:val="clear" w:color="auto" w:fill="632423" w:themeFill="accent2" w:themeFillShade="80"/>
          </w:tcPr>
          <w:p w14:paraId="3BEAC9D5" w14:textId="77777777" w:rsidR="008F6DC4" w:rsidRP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Höhe</w:t>
            </w:r>
          </w:p>
        </w:tc>
      </w:tr>
      <w:tr w:rsidR="008F6DC4" w14:paraId="115B174A" w14:textId="77777777" w:rsidTr="00666489">
        <w:tc>
          <w:tcPr>
            <w:cnfStyle w:val="000010000000" w:firstRow="0" w:lastRow="0" w:firstColumn="0" w:lastColumn="0" w:oddVBand="1" w:evenVBand="0" w:oddHBand="0" w:evenHBand="0" w:firstRowFirstColumn="0" w:firstRowLastColumn="0" w:lastRowFirstColumn="0" w:lastRowLastColumn="0"/>
            <w:tcW w:w="3752" w:type="dxa"/>
            <w:tcBorders>
              <w:right w:val="nil"/>
            </w:tcBorders>
            <w:shd w:val="clear" w:color="auto" w:fill="auto"/>
          </w:tcPr>
          <w:p w14:paraId="78CC5295" w14:textId="77777777" w:rsidR="008F6DC4" w:rsidRDefault="008F6DC4" w:rsidP="002D7267">
            <w:pPr>
              <w:ind w:right="-3"/>
              <w:jc w:val="both"/>
              <w:rPr>
                <w:rFonts w:cs="Times-Roman"/>
                <w:szCs w:val="22"/>
              </w:rPr>
            </w:pPr>
            <w:r>
              <w:rPr>
                <w:rFonts w:cs="Times-Roman"/>
                <w:szCs w:val="22"/>
              </w:rPr>
              <w:t>Feinstaubfilter</w:t>
            </w:r>
          </w:p>
        </w:tc>
        <w:tc>
          <w:tcPr>
            <w:tcW w:w="5310" w:type="dxa"/>
            <w:gridSpan w:val="5"/>
            <w:tcBorders>
              <w:left w:val="nil"/>
            </w:tcBorders>
            <w:shd w:val="clear" w:color="auto" w:fill="auto"/>
          </w:tcPr>
          <w:p w14:paraId="51890A40" w14:textId="77777777"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€ 300,-</w:t>
            </w:r>
          </w:p>
        </w:tc>
      </w:tr>
      <w:tr w:rsidR="008F6DC4" w14:paraId="5C851E7A" w14:textId="77777777" w:rsidTr="006664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89" w:type="dxa"/>
            <w:gridSpan w:val="5"/>
            <w:tcBorders>
              <w:right w:val="nil"/>
            </w:tcBorders>
            <w:shd w:val="clear" w:color="auto" w:fill="auto"/>
          </w:tcPr>
          <w:p w14:paraId="6E9923C8" w14:textId="66B4A7A2" w:rsidR="008F6DC4" w:rsidRDefault="008F6DC4" w:rsidP="002D7267">
            <w:pPr>
              <w:ind w:right="-3"/>
              <w:jc w:val="both"/>
              <w:rPr>
                <w:rFonts w:cs="Times-Roman"/>
                <w:szCs w:val="22"/>
              </w:rPr>
            </w:pPr>
            <w:r>
              <w:rPr>
                <w:rFonts w:cs="Times-Roman"/>
                <w:szCs w:val="22"/>
              </w:rPr>
              <w:t>Pufferspeicher mit mind. 500 Liter (sofern nicht erforderlich)</w:t>
            </w:r>
          </w:p>
        </w:tc>
        <w:tc>
          <w:tcPr>
            <w:tcW w:w="1573" w:type="dxa"/>
            <w:tcBorders>
              <w:left w:val="nil"/>
            </w:tcBorders>
            <w:shd w:val="clear" w:color="auto" w:fill="auto"/>
          </w:tcPr>
          <w:p w14:paraId="03FEAED0" w14:textId="77777777"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8F6DC4" w14:paraId="4AEA3BE1" w14:textId="77777777" w:rsidTr="00666489">
        <w:tc>
          <w:tcPr>
            <w:cnfStyle w:val="000010000000" w:firstRow="0" w:lastRow="0" w:firstColumn="0" w:lastColumn="0" w:oddVBand="1" w:evenVBand="0" w:oddHBand="0" w:evenHBand="0" w:firstRowFirstColumn="0" w:firstRowLastColumn="0" w:lastRowFirstColumn="0" w:lastRowLastColumn="0"/>
            <w:tcW w:w="7489" w:type="dxa"/>
            <w:gridSpan w:val="5"/>
            <w:tcBorders>
              <w:right w:val="nil"/>
            </w:tcBorders>
            <w:shd w:val="clear" w:color="auto" w:fill="auto"/>
          </w:tcPr>
          <w:p w14:paraId="0D3C8734" w14:textId="2F782B5E" w:rsidR="008F6DC4" w:rsidRDefault="008F6DC4" w:rsidP="002D7267">
            <w:pPr>
              <w:ind w:right="-3"/>
              <w:jc w:val="both"/>
              <w:rPr>
                <w:rFonts w:cs="Times-Roman"/>
                <w:szCs w:val="22"/>
              </w:rPr>
            </w:pPr>
            <w:r>
              <w:rPr>
                <w:rFonts w:cs="Times-Roman"/>
                <w:szCs w:val="22"/>
              </w:rPr>
              <w:t xml:space="preserve">Brennwerttechnologie </w:t>
            </w:r>
            <w:r w:rsidR="00CB114A">
              <w:rPr>
                <w:rFonts w:cs="Times-Roman"/>
                <w:szCs w:val="22"/>
              </w:rPr>
              <w:t>(Wirkungsgrad &gt; 100 % bei Volllast)</w:t>
            </w:r>
          </w:p>
        </w:tc>
        <w:tc>
          <w:tcPr>
            <w:tcW w:w="1573" w:type="dxa"/>
            <w:tcBorders>
              <w:left w:val="nil"/>
            </w:tcBorders>
            <w:shd w:val="clear" w:color="auto" w:fill="auto"/>
          </w:tcPr>
          <w:p w14:paraId="661B932E" w14:textId="0F78179F"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€ 100,-</w:t>
            </w:r>
          </w:p>
        </w:tc>
      </w:tr>
      <w:tr w:rsidR="008F6DC4" w14:paraId="0C03EE6C" w14:textId="77777777" w:rsidTr="006664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2" w:type="dxa"/>
            <w:gridSpan w:val="4"/>
            <w:tcBorders>
              <w:right w:val="nil"/>
            </w:tcBorders>
            <w:shd w:val="clear" w:color="auto" w:fill="auto"/>
          </w:tcPr>
          <w:p w14:paraId="79EF2202" w14:textId="77777777" w:rsidR="008F6DC4" w:rsidRDefault="008F6DC4" w:rsidP="002D7267">
            <w:pPr>
              <w:ind w:right="-3"/>
              <w:jc w:val="both"/>
              <w:rPr>
                <w:rFonts w:cs="Times-Roman"/>
                <w:szCs w:val="22"/>
              </w:rPr>
            </w:pPr>
            <w:r>
              <w:rPr>
                <w:rFonts w:cs="Times-Roman"/>
                <w:szCs w:val="22"/>
              </w:rPr>
              <w:t>HWB des sanierten Objektes unter 12.600 kWh/a</w:t>
            </w:r>
          </w:p>
        </w:tc>
        <w:tc>
          <w:tcPr>
            <w:tcW w:w="3510" w:type="dxa"/>
            <w:gridSpan w:val="2"/>
            <w:tcBorders>
              <w:left w:val="nil"/>
            </w:tcBorders>
            <w:shd w:val="clear" w:color="auto" w:fill="auto"/>
          </w:tcPr>
          <w:p w14:paraId="65F891F2" w14:textId="77777777"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8F6DC4" w14:paraId="539F19E3" w14:textId="77777777" w:rsidTr="00666489">
        <w:tc>
          <w:tcPr>
            <w:cnfStyle w:val="000010000000" w:firstRow="0" w:lastRow="0" w:firstColumn="0" w:lastColumn="0" w:oddVBand="1" w:evenVBand="0" w:oddHBand="0" w:evenHBand="0" w:firstRowFirstColumn="0" w:firstRowLastColumn="0" w:lastRowFirstColumn="0" w:lastRowLastColumn="0"/>
            <w:tcW w:w="3752" w:type="dxa"/>
            <w:tcBorders>
              <w:right w:val="nil"/>
            </w:tcBorders>
            <w:shd w:val="clear" w:color="auto" w:fill="auto"/>
          </w:tcPr>
          <w:p w14:paraId="0DDE623B" w14:textId="77777777" w:rsidR="008F6DC4" w:rsidRDefault="008F6DC4" w:rsidP="002D7267">
            <w:pPr>
              <w:ind w:right="-3"/>
              <w:jc w:val="both"/>
              <w:rPr>
                <w:rFonts w:cs="Times-Roman"/>
                <w:szCs w:val="22"/>
              </w:rPr>
            </w:pPr>
            <w:r>
              <w:rPr>
                <w:rFonts w:cs="Times-Roman"/>
                <w:szCs w:val="22"/>
              </w:rPr>
              <w:t>HWB des Neubaus unter 2700 kWh/a</w:t>
            </w:r>
          </w:p>
        </w:tc>
        <w:tc>
          <w:tcPr>
            <w:tcW w:w="5310" w:type="dxa"/>
            <w:gridSpan w:val="5"/>
            <w:tcBorders>
              <w:left w:val="nil"/>
            </w:tcBorders>
            <w:shd w:val="clear" w:color="auto" w:fill="auto"/>
          </w:tcPr>
          <w:p w14:paraId="276B1F5E" w14:textId="77777777"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8F6DC4" w14:paraId="69C8EE9D" w14:textId="77777777" w:rsidTr="006664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52" w:type="dxa"/>
            <w:tcBorders>
              <w:right w:val="nil"/>
            </w:tcBorders>
            <w:shd w:val="clear" w:color="auto" w:fill="auto"/>
          </w:tcPr>
          <w:p w14:paraId="19B0F0E9" w14:textId="77777777" w:rsidR="008F6DC4" w:rsidRDefault="008F6DC4" w:rsidP="002D7267">
            <w:pPr>
              <w:ind w:right="-3"/>
              <w:jc w:val="both"/>
              <w:rPr>
                <w:rFonts w:cs="Times-Roman"/>
                <w:szCs w:val="22"/>
              </w:rPr>
            </w:pPr>
            <w:r>
              <w:rPr>
                <w:rFonts w:cs="Times-Roman"/>
                <w:szCs w:val="22"/>
              </w:rPr>
              <w:t>Umstieg von alten Gaskessel</w:t>
            </w:r>
          </w:p>
        </w:tc>
        <w:tc>
          <w:tcPr>
            <w:tcW w:w="5310" w:type="dxa"/>
            <w:gridSpan w:val="5"/>
            <w:tcBorders>
              <w:left w:val="nil"/>
            </w:tcBorders>
            <w:shd w:val="clear" w:color="auto" w:fill="auto"/>
          </w:tcPr>
          <w:p w14:paraId="3416CD26" w14:textId="77777777" w:rsidR="008F6DC4" w:rsidRDefault="008F6DC4"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8F6DC4" w14:paraId="39161F36" w14:textId="77777777" w:rsidTr="00666489">
        <w:tc>
          <w:tcPr>
            <w:cnfStyle w:val="000010000000" w:firstRow="0" w:lastRow="0" w:firstColumn="0" w:lastColumn="0" w:oddVBand="1" w:evenVBand="0" w:oddHBand="0" w:evenHBand="0" w:firstRowFirstColumn="0" w:firstRowLastColumn="0" w:lastRowFirstColumn="0" w:lastRowLastColumn="0"/>
            <w:tcW w:w="5413" w:type="dxa"/>
            <w:gridSpan w:val="3"/>
            <w:tcBorders>
              <w:right w:val="nil"/>
            </w:tcBorders>
            <w:shd w:val="clear" w:color="auto" w:fill="auto"/>
          </w:tcPr>
          <w:p w14:paraId="5C76E5A2" w14:textId="77777777" w:rsidR="008F6DC4" w:rsidRDefault="008F6DC4" w:rsidP="002D7267">
            <w:pPr>
              <w:ind w:right="-3"/>
              <w:jc w:val="both"/>
              <w:rPr>
                <w:rFonts w:cs="Times-Roman"/>
                <w:szCs w:val="22"/>
              </w:rPr>
            </w:pPr>
            <w:r>
              <w:rPr>
                <w:rFonts w:cs="Times-Roman"/>
                <w:szCs w:val="22"/>
              </w:rPr>
              <w:t>Umstieg von alten Ölkessel oder Direkt-Stromheizung</w:t>
            </w:r>
          </w:p>
        </w:tc>
        <w:tc>
          <w:tcPr>
            <w:tcW w:w="3649" w:type="dxa"/>
            <w:gridSpan w:val="3"/>
            <w:tcBorders>
              <w:left w:val="nil"/>
            </w:tcBorders>
            <w:shd w:val="clear" w:color="auto" w:fill="auto"/>
          </w:tcPr>
          <w:p w14:paraId="58546792" w14:textId="77777777" w:rsidR="008F6DC4" w:rsidRDefault="008F6DC4"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bl>
    <w:p w14:paraId="10DB08D6" w14:textId="63ED19CD" w:rsidR="00CB114A" w:rsidRDefault="00CB114A" w:rsidP="002D7267">
      <w:pPr>
        <w:pStyle w:val="berschrift1"/>
        <w:ind w:left="0" w:right="-3"/>
        <w:rPr>
          <w:szCs w:val="22"/>
        </w:rPr>
      </w:pPr>
      <w:r>
        <w:rPr>
          <w:szCs w:val="22"/>
        </w:rPr>
        <w:t>Fernwärmeanschluss:</w:t>
      </w:r>
    </w:p>
    <w:p w14:paraId="7C1BA0F3" w14:textId="749DA746" w:rsidR="00CB114A" w:rsidRPr="00666489" w:rsidRDefault="00CB114A" w:rsidP="002D7267">
      <w:pPr>
        <w:pStyle w:val="Listenabsatz"/>
        <w:numPr>
          <w:ilvl w:val="0"/>
          <w:numId w:val="14"/>
        </w:numPr>
        <w:autoSpaceDE w:val="0"/>
        <w:autoSpaceDN w:val="0"/>
        <w:adjustRightInd w:val="0"/>
        <w:ind w:right="-3"/>
      </w:pPr>
      <w:r w:rsidRPr="00666489">
        <w:t>Die aus dem Fernwärmewerk bereitgestellte Fernwärme muss zu einem Anteil von mindestens 80% aus erneuerbaren Energieträgern bestehen</w:t>
      </w:r>
      <w:r w:rsidR="00666489">
        <w:t>.</w:t>
      </w:r>
    </w:p>
    <w:p w14:paraId="7EF9A85D" w14:textId="5F270FC1" w:rsidR="00CB114A" w:rsidRDefault="00CB114A" w:rsidP="002D7267">
      <w:pPr>
        <w:pStyle w:val="Listenabsatz"/>
        <w:numPr>
          <w:ilvl w:val="0"/>
          <w:numId w:val="14"/>
        </w:numPr>
        <w:autoSpaceDE w:val="0"/>
        <w:autoSpaceDN w:val="0"/>
        <w:adjustRightInd w:val="0"/>
        <w:ind w:right="-3"/>
      </w:pPr>
      <w:r w:rsidRPr="00666489">
        <w:t>Die Kosten des Anschlusses an das Fernwärmenetz müssen detailliert aufgeschlüsselt und nachgewiesen werden</w:t>
      </w:r>
      <w:r w:rsidR="00666489">
        <w:t>.</w:t>
      </w:r>
    </w:p>
    <w:p w14:paraId="78944B88" w14:textId="56EF2108" w:rsidR="00666489" w:rsidRDefault="00666489" w:rsidP="002D7267">
      <w:pPr>
        <w:pStyle w:val="Listenabsatz"/>
        <w:numPr>
          <w:ilvl w:val="0"/>
          <w:numId w:val="14"/>
        </w:numPr>
        <w:autoSpaceDE w:val="0"/>
        <w:autoSpaceDN w:val="0"/>
        <w:adjustRightInd w:val="0"/>
        <w:ind w:right="-3"/>
      </w:pPr>
      <w:r>
        <w:t xml:space="preserve">Kollektoren müssen das „Austria Solar-Gütesiegel“ oder „Solar Keymark“ aufweisen. </w:t>
      </w:r>
    </w:p>
    <w:p w14:paraId="2ED30C5E" w14:textId="77777777" w:rsidR="002C4A52" w:rsidRDefault="002C4A52" w:rsidP="002D7267">
      <w:pPr>
        <w:pStyle w:val="Listenabsatz"/>
        <w:autoSpaceDE w:val="0"/>
        <w:autoSpaceDN w:val="0"/>
        <w:adjustRightInd w:val="0"/>
        <w:ind w:right="-3"/>
      </w:pPr>
    </w:p>
    <w:tbl>
      <w:tblPr>
        <w:tblStyle w:val="HelleListe-Akzent2"/>
        <w:tblW w:w="9204" w:type="dxa"/>
        <w:tblLook w:val="0000" w:firstRow="0" w:lastRow="0" w:firstColumn="0" w:lastColumn="0" w:noHBand="0" w:noVBand="0"/>
      </w:tblPr>
      <w:tblGrid>
        <w:gridCol w:w="5660"/>
        <w:gridCol w:w="1142"/>
        <w:gridCol w:w="2402"/>
      </w:tblGrid>
      <w:tr w:rsidR="002C4A52" w:rsidRPr="008F6DC4" w14:paraId="3B6CDDC9" w14:textId="77777777" w:rsidTr="00913D14">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632423" w:themeFill="accent2" w:themeFillShade="80"/>
          </w:tcPr>
          <w:p w14:paraId="353E8EF3" w14:textId="77777777" w:rsidR="002C4A52" w:rsidRPr="008F6DC4" w:rsidRDefault="002C4A52" w:rsidP="002D7267">
            <w:pPr>
              <w:ind w:right="-3"/>
              <w:jc w:val="both"/>
              <w:rPr>
                <w:rFonts w:cs="Times-Roman"/>
                <w:szCs w:val="22"/>
              </w:rPr>
            </w:pPr>
            <w:r>
              <w:rPr>
                <w:rFonts w:cs="Times-Roman"/>
                <w:szCs w:val="22"/>
              </w:rPr>
              <w:t xml:space="preserve">Bonus zum Grundbetrag bei folgenden Maßnahmen </w:t>
            </w:r>
          </w:p>
        </w:tc>
        <w:tc>
          <w:tcPr>
            <w:tcW w:w="3544" w:type="dxa"/>
            <w:gridSpan w:val="2"/>
            <w:tcBorders>
              <w:left w:val="nil"/>
            </w:tcBorders>
            <w:shd w:val="clear" w:color="auto" w:fill="632423" w:themeFill="accent2" w:themeFillShade="80"/>
          </w:tcPr>
          <w:p w14:paraId="3BFEDCE4" w14:textId="77777777" w:rsidR="002C4A52" w:rsidRPr="008F6DC4"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Höhe</w:t>
            </w:r>
          </w:p>
        </w:tc>
      </w:tr>
      <w:tr w:rsidR="002C4A52" w:rsidRPr="008F6DC4" w14:paraId="3D2593D8" w14:textId="77777777" w:rsidTr="00913D14">
        <w:trPr>
          <w:trHeight w:val="257"/>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5A854262" w14:textId="77777777" w:rsidR="002C4A52" w:rsidRDefault="002C4A52" w:rsidP="002D7267">
            <w:pPr>
              <w:ind w:right="-3"/>
              <w:jc w:val="both"/>
              <w:rPr>
                <w:rFonts w:cs="Times-Roman"/>
                <w:szCs w:val="22"/>
              </w:rPr>
            </w:pPr>
            <w:r>
              <w:rPr>
                <w:rFonts w:cs="Times-Roman"/>
                <w:szCs w:val="22"/>
              </w:rPr>
              <w:t>Sommerbetrieb mit thermischer Solaranlage oder Abschaltung</w:t>
            </w:r>
          </w:p>
        </w:tc>
        <w:tc>
          <w:tcPr>
            <w:tcW w:w="3544" w:type="dxa"/>
            <w:gridSpan w:val="2"/>
            <w:tcBorders>
              <w:left w:val="nil"/>
            </w:tcBorders>
            <w:shd w:val="clear" w:color="auto" w:fill="auto"/>
          </w:tcPr>
          <w:p w14:paraId="455085B0" w14:textId="77777777" w:rsidR="002C4A52" w:rsidRDefault="002C4A52"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2C4A52" w:rsidRPr="008F6DC4" w14:paraId="216B5206" w14:textId="77777777" w:rsidTr="00913D14">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65A59650" w14:textId="578AA2CF" w:rsidR="002C4A52" w:rsidRDefault="00B6383C" w:rsidP="002D7267">
            <w:pPr>
              <w:ind w:right="-3"/>
              <w:jc w:val="both"/>
              <w:rPr>
                <w:rFonts w:cs="Times-Roman"/>
                <w:szCs w:val="22"/>
              </w:rPr>
            </w:pPr>
            <w:r>
              <w:rPr>
                <w:rFonts w:cs="Times-Roman"/>
                <w:szCs w:val="22"/>
              </w:rPr>
              <w:t>Abwärme Nutzung</w:t>
            </w:r>
            <w:r w:rsidR="002C4A52">
              <w:rPr>
                <w:rFonts w:cs="Times-Roman"/>
                <w:szCs w:val="22"/>
              </w:rPr>
              <w:t xml:space="preserve"> aus Biogas</w:t>
            </w:r>
          </w:p>
        </w:tc>
        <w:tc>
          <w:tcPr>
            <w:tcW w:w="3544" w:type="dxa"/>
            <w:gridSpan w:val="2"/>
            <w:tcBorders>
              <w:left w:val="nil"/>
            </w:tcBorders>
            <w:shd w:val="clear" w:color="auto" w:fill="auto"/>
          </w:tcPr>
          <w:p w14:paraId="1C847AE5" w14:textId="77777777" w:rsidR="002C4A52"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€ 300,-</w:t>
            </w:r>
          </w:p>
        </w:tc>
      </w:tr>
      <w:tr w:rsidR="002C4A52" w:rsidRPr="008F6DC4" w14:paraId="7F71185D" w14:textId="77777777" w:rsidTr="00913D14">
        <w:trPr>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2D3677D0" w14:textId="77777777" w:rsidR="002C4A52" w:rsidRDefault="002C4A52" w:rsidP="002D7267">
            <w:pPr>
              <w:ind w:right="-3"/>
              <w:jc w:val="both"/>
              <w:rPr>
                <w:rFonts w:cs="Times-Roman"/>
                <w:szCs w:val="22"/>
              </w:rPr>
            </w:pPr>
            <w:r>
              <w:rPr>
                <w:rFonts w:cs="Times-Roman"/>
                <w:szCs w:val="22"/>
              </w:rPr>
              <w:t>HWB des Neubaus unter 2700 kWh/a</w:t>
            </w:r>
          </w:p>
        </w:tc>
        <w:tc>
          <w:tcPr>
            <w:tcW w:w="3544" w:type="dxa"/>
            <w:gridSpan w:val="2"/>
            <w:tcBorders>
              <w:left w:val="nil"/>
            </w:tcBorders>
            <w:shd w:val="clear" w:color="auto" w:fill="auto"/>
          </w:tcPr>
          <w:p w14:paraId="1D9F32EB" w14:textId="77777777" w:rsidR="002C4A52" w:rsidRDefault="002C4A52"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2C4A52" w:rsidRPr="008F6DC4" w14:paraId="218CC53E" w14:textId="77777777" w:rsidTr="00913D14">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30C0B46D" w14:textId="0FAE452F" w:rsidR="002C4A52" w:rsidRDefault="002C4A52" w:rsidP="002D7267">
            <w:pPr>
              <w:ind w:right="-3"/>
              <w:jc w:val="both"/>
              <w:rPr>
                <w:rFonts w:cs="Times-Roman"/>
                <w:szCs w:val="22"/>
              </w:rPr>
            </w:pPr>
            <w:r>
              <w:rPr>
                <w:rFonts w:cs="Times-Roman"/>
                <w:szCs w:val="22"/>
              </w:rPr>
              <w:t xml:space="preserve">Umstieg </w:t>
            </w:r>
            <w:r w:rsidR="00B6383C">
              <w:rPr>
                <w:rFonts w:cs="Times-Roman"/>
                <w:szCs w:val="22"/>
              </w:rPr>
              <w:t>vom alten Gaskessel</w:t>
            </w:r>
          </w:p>
        </w:tc>
        <w:tc>
          <w:tcPr>
            <w:tcW w:w="3544" w:type="dxa"/>
            <w:gridSpan w:val="2"/>
            <w:tcBorders>
              <w:left w:val="nil"/>
            </w:tcBorders>
            <w:shd w:val="clear" w:color="auto" w:fill="auto"/>
          </w:tcPr>
          <w:p w14:paraId="6BD69130" w14:textId="77777777" w:rsidR="002C4A52"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r w:rsidR="002C4A52" w:rsidRPr="008F6DC4" w14:paraId="5EFB8010" w14:textId="77777777" w:rsidTr="00913D14">
        <w:trPr>
          <w:trHeight w:val="257"/>
        </w:trPr>
        <w:tc>
          <w:tcPr>
            <w:cnfStyle w:val="000010000000" w:firstRow="0" w:lastRow="0" w:firstColumn="0" w:lastColumn="0" w:oddVBand="1" w:evenVBand="0" w:oddHBand="0" w:evenHBand="0" w:firstRowFirstColumn="0" w:firstRowLastColumn="0" w:lastRowFirstColumn="0" w:lastRowLastColumn="0"/>
            <w:tcW w:w="6802" w:type="dxa"/>
            <w:gridSpan w:val="2"/>
            <w:tcBorders>
              <w:right w:val="nil"/>
            </w:tcBorders>
            <w:shd w:val="clear" w:color="auto" w:fill="auto"/>
          </w:tcPr>
          <w:p w14:paraId="30779718" w14:textId="65EC27A3" w:rsidR="002C4A52" w:rsidRDefault="002C4A52" w:rsidP="002D7267">
            <w:pPr>
              <w:ind w:right="-3"/>
              <w:jc w:val="both"/>
              <w:rPr>
                <w:rFonts w:cs="Times-Roman"/>
                <w:szCs w:val="22"/>
              </w:rPr>
            </w:pPr>
            <w:r>
              <w:rPr>
                <w:rFonts w:cs="Times-Roman"/>
                <w:szCs w:val="22"/>
              </w:rPr>
              <w:t>Umstieg vo</w:t>
            </w:r>
            <w:r w:rsidR="00B6383C">
              <w:rPr>
                <w:rFonts w:cs="Times-Roman"/>
                <w:szCs w:val="22"/>
              </w:rPr>
              <w:t>m</w:t>
            </w:r>
            <w:r>
              <w:rPr>
                <w:rFonts w:cs="Times-Roman"/>
                <w:szCs w:val="22"/>
              </w:rPr>
              <w:t xml:space="preserve"> alte</w:t>
            </w:r>
            <w:r w:rsidR="00B6383C">
              <w:rPr>
                <w:rFonts w:cs="Times-Roman"/>
                <w:szCs w:val="22"/>
              </w:rPr>
              <w:t>n</w:t>
            </w:r>
            <w:r>
              <w:rPr>
                <w:rFonts w:cs="Times-Roman"/>
                <w:szCs w:val="22"/>
              </w:rPr>
              <w:t xml:space="preserve"> Ölkessel oder Direkt-Stromheizung</w:t>
            </w:r>
          </w:p>
        </w:tc>
        <w:tc>
          <w:tcPr>
            <w:tcW w:w="2402" w:type="dxa"/>
            <w:tcBorders>
              <w:left w:val="nil"/>
            </w:tcBorders>
            <w:shd w:val="clear" w:color="auto" w:fill="auto"/>
          </w:tcPr>
          <w:p w14:paraId="76EC36B4" w14:textId="77777777" w:rsidR="002C4A52" w:rsidRDefault="002C4A52"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bl>
    <w:p w14:paraId="130FF945" w14:textId="716FB7C0" w:rsidR="00666489" w:rsidRDefault="00666489" w:rsidP="002D7267">
      <w:pPr>
        <w:pStyle w:val="berschrift1"/>
        <w:ind w:left="0" w:right="-3"/>
        <w:rPr>
          <w:szCs w:val="22"/>
        </w:rPr>
      </w:pPr>
      <w:r>
        <w:rPr>
          <w:szCs w:val="22"/>
        </w:rPr>
        <w:t>Thermische Solaranlage zur Heizungsunterstützung:</w:t>
      </w:r>
    </w:p>
    <w:p w14:paraId="65DA9A7F" w14:textId="2A4E54E5" w:rsidR="00666489" w:rsidRPr="00666489" w:rsidRDefault="00666489" w:rsidP="002D7267">
      <w:pPr>
        <w:pStyle w:val="Listenabsatz"/>
        <w:numPr>
          <w:ilvl w:val="0"/>
          <w:numId w:val="14"/>
        </w:numPr>
        <w:autoSpaceDE w:val="0"/>
        <w:autoSpaceDN w:val="0"/>
        <w:adjustRightInd w:val="0"/>
        <w:ind w:right="-3"/>
      </w:pPr>
      <w:r>
        <w:t>Mindestdeckungsgrad von 15 % des Wärmebedarfs für Raumheizung</w:t>
      </w:r>
    </w:p>
    <w:p w14:paraId="0E65E2AA" w14:textId="563E5ABA" w:rsidR="00666489" w:rsidRDefault="00666489" w:rsidP="002D7267">
      <w:pPr>
        <w:pStyle w:val="Listenabsatz"/>
        <w:numPr>
          <w:ilvl w:val="0"/>
          <w:numId w:val="14"/>
        </w:numPr>
        <w:autoSpaceDE w:val="0"/>
        <w:autoSpaceDN w:val="0"/>
        <w:adjustRightInd w:val="0"/>
        <w:ind w:right="-3"/>
      </w:pPr>
      <w:r>
        <w:t>Wärmeverteilung auf Basis von Niedertemperatursystemen</w:t>
      </w:r>
    </w:p>
    <w:p w14:paraId="312B7706" w14:textId="486B2D30" w:rsidR="00666489" w:rsidRDefault="00666489" w:rsidP="002D7267">
      <w:pPr>
        <w:pStyle w:val="Listenabsatz"/>
        <w:numPr>
          <w:ilvl w:val="0"/>
          <w:numId w:val="14"/>
        </w:numPr>
        <w:autoSpaceDE w:val="0"/>
        <w:autoSpaceDN w:val="0"/>
        <w:adjustRightInd w:val="0"/>
        <w:ind w:right="-3"/>
      </w:pPr>
      <w:r>
        <w:t>Leistungsüberwachung muss vorhanden sein</w:t>
      </w:r>
    </w:p>
    <w:p w14:paraId="1AAFAA9A" w14:textId="1B4103FC" w:rsidR="00666489" w:rsidRPr="00666489" w:rsidRDefault="00666489" w:rsidP="002D7267">
      <w:pPr>
        <w:pStyle w:val="Listenabsatz"/>
        <w:numPr>
          <w:ilvl w:val="0"/>
          <w:numId w:val="14"/>
        </w:numPr>
        <w:autoSpaceDE w:val="0"/>
        <w:autoSpaceDN w:val="0"/>
        <w:adjustRightInd w:val="0"/>
        <w:ind w:right="-3"/>
      </w:pPr>
      <w:r>
        <w:t>Hauptheizsystem muss mit erneuerbarer Energie betrieben werden (Ansonsten nur Förderung möglich als Anlage für Warmwasserbereitung)</w:t>
      </w:r>
    </w:p>
    <w:tbl>
      <w:tblPr>
        <w:tblStyle w:val="HelleListe-Akzent2"/>
        <w:tblpPr w:leftFromText="141" w:rightFromText="141" w:vertAnchor="text" w:horzAnchor="margin" w:tblpY="285"/>
        <w:tblW w:w="9204" w:type="dxa"/>
        <w:tblLook w:val="0000" w:firstRow="0" w:lastRow="0" w:firstColumn="0" w:lastColumn="0" w:noHBand="0" w:noVBand="0"/>
      </w:tblPr>
      <w:tblGrid>
        <w:gridCol w:w="5660"/>
        <w:gridCol w:w="3544"/>
      </w:tblGrid>
      <w:tr w:rsidR="002C4A52" w:rsidRPr="008F6DC4" w14:paraId="25D50BF8" w14:textId="77777777" w:rsidTr="002C4A5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632423" w:themeFill="accent2" w:themeFillShade="80"/>
          </w:tcPr>
          <w:p w14:paraId="02C96731" w14:textId="77777777" w:rsidR="002C4A52" w:rsidRPr="008F6DC4" w:rsidRDefault="002C4A52" w:rsidP="002D7267">
            <w:pPr>
              <w:ind w:right="-3"/>
              <w:jc w:val="both"/>
              <w:rPr>
                <w:rFonts w:cs="Times-Roman"/>
                <w:szCs w:val="22"/>
              </w:rPr>
            </w:pPr>
            <w:r>
              <w:rPr>
                <w:rFonts w:cs="Times-Roman"/>
                <w:szCs w:val="22"/>
              </w:rPr>
              <w:t xml:space="preserve">Bonus zum Grundbetrag bei folgenden Maßnahmen </w:t>
            </w:r>
          </w:p>
        </w:tc>
        <w:tc>
          <w:tcPr>
            <w:tcW w:w="3544" w:type="dxa"/>
            <w:tcBorders>
              <w:left w:val="nil"/>
            </w:tcBorders>
            <w:shd w:val="clear" w:color="auto" w:fill="632423" w:themeFill="accent2" w:themeFillShade="80"/>
          </w:tcPr>
          <w:p w14:paraId="03887AA0" w14:textId="77777777" w:rsidR="002C4A52" w:rsidRPr="008F6DC4"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Höhe</w:t>
            </w:r>
          </w:p>
        </w:tc>
      </w:tr>
      <w:tr w:rsidR="002C4A52" w:rsidRPr="008F6DC4" w14:paraId="2FCCC649" w14:textId="77777777" w:rsidTr="002C4A52">
        <w:trPr>
          <w:trHeight w:val="257"/>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7938EA45" w14:textId="77777777" w:rsidR="002C4A52" w:rsidRDefault="002C4A52" w:rsidP="002D7267">
            <w:pPr>
              <w:ind w:right="-3"/>
              <w:jc w:val="both"/>
              <w:rPr>
                <w:rFonts w:cs="Times-Roman"/>
                <w:szCs w:val="22"/>
              </w:rPr>
            </w:pPr>
            <w:r>
              <w:rPr>
                <w:rFonts w:cs="Times-Roman"/>
                <w:szCs w:val="22"/>
              </w:rPr>
              <w:t>Deckungsgrad über 30 %</w:t>
            </w:r>
          </w:p>
        </w:tc>
        <w:tc>
          <w:tcPr>
            <w:tcW w:w="3544" w:type="dxa"/>
            <w:tcBorders>
              <w:left w:val="nil"/>
            </w:tcBorders>
            <w:shd w:val="clear" w:color="auto" w:fill="auto"/>
          </w:tcPr>
          <w:p w14:paraId="17804B13" w14:textId="77777777" w:rsidR="002C4A52" w:rsidRDefault="002C4A52"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2C4A52" w:rsidRPr="008F6DC4" w14:paraId="10BEAEB6" w14:textId="77777777" w:rsidTr="002C4A5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5DDFA2B4" w14:textId="77777777" w:rsidR="002C4A52" w:rsidRDefault="002C4A52" w:rsidP="002D7267">
            <w:pPr>
              <w:ind w:right="-3"/>
              <w:jc w:val="both"/>
              <w:rPr>
                <w:rFonts w:cs="Times-Roman"/>
                <w:szCs w:val="22"/>
              </w:rPr>
            </w:pPr>
            <w:r>
              <w:rPr>
                <w:rFonts w:cs="Times-Roman"/>
                <w:szCs w:val="22"/>
              </w:rPr>
              <w:t>Deckungsgrad über 40 %</w:t>
            </w:r>
          </w:p>
        </w:tc>
        <w:tc>
          <w:tcPr>
            <w:tcW w:w="3544" w:type="dxa"/>
            <w:tcBorders>
              <w:left w:val="nil"/>
            </w:tcBorders>
            <w:shd w:val="clear" w:color="auto" w:fill="auto"/>
          </w:tcPr>
          <w:p w14:paraId="6771B878" w14:textId="77777777" w:rsidR="002C4A52"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€ 300,-</w:t>
            </w:r>
          </w:p>
        </w:tc>
      </w:tr>
      <w:tr w:rsidR="002C4A52" w:rsidRPr="008F6DC4" w14:paraId="7FF3AA5D" w14:textId="77777777" w:rsidTr="002C4A52">
        <w:trPr>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7E412ACB" w14:textId="77777777" w:rsidR="002C4A52" w:rsidRDefault="002C4A52" w:rsidP="002D7267">
            <w:pPr>
              <w:ind w:right="-3"/>
              <w:jc w:val="both"/>
              <w:rPr>
                <w:rFonts w:cs="Times-Roman"/>
                <w:szCs w:val="22"/>
              </w:rPr>
            </w:pPr>
            <w:r>
              <w:rPr>
                <w:rFonts w:cs="Times-Roman"/>
                <w:szCs w:val="22"/>
              </w:rPr>
              <w:t>HWB des Neubaus unter 2700 kWh/a</w:t>
            </w:r>
          </w:p>
        </w:tc>
        <w:tc>
          <w:tcPr>
            <w:tcW w:w="3544" w:type="dxa"/>
            <w:tcBorders>
              <w:left w:val="nil"/>
            </w:tcBorders>
            <w:shd w:val="clear" w:color="auto" w:fill="auto"/>
          </w:tcPr>
          <w:p w14:paraId="2513B42B" w14:textId="77777777" w:rsidR="002C4A52" w:rsidRDefault="002C4A52" w:rsidP="002D7267">
            <w:pPr>
              <w:ind w:right="-3"/>
              <w:jc w:val="right"/>
              <w:cnfStyle w:val="000000000000" w:firstRow="0" w:lastRow="0" w:firstColumn="0" w:lastColumn="0" w:oddVBand="0" w:evenVBand="0" w:oddHBand="0" w:evenHBand="0" w:firstRowFirstColumn="0" w:firstRowLastColumn="0" w:lastRowFirstColumn="0" w:lastRowLastColumn="0"/>
              <w:rPr>
                <w:rFonts w:cs="Times-Roman"/>
                <w:szCs w:val="22"/>
              </w:rPr>
            </w:pPr>
            <w:r>
              <w:rPr>
                <w:rFonts w:cs="Times-Roman"/>
                <w:szCs w:val="22"/>
              </w:rPr>
              <w:t>€ 200,-</w:t>
            </w:r>
          </w:p>
        </w:tc>
      </w:tr>
      <w:tr w:rsidR="002C4A52" w:rsidRPr="008F6DC4" w14:paraId="7D064ADB" w14:textId="77777777" w:rsidTr="002C4A52">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5660" w:type="dxa"/>
            <w:tcBorders>
              <w:right w:val="nil"/>
            </w:tcBorders>
            <w:shd w:val="clear" w:color="auto" w:fill="auto"/>
          </w:tcPr>
          <w:p w14:paraId="41DB9C55" w14:textId="77777777" w:rsidR="002C4A52" w:rsidRDefault="002C4A52" w:rsidP="002D7267">
            <w:pPr>
              <w:ind w:right="-3"/>
              <w:jc w:val="both"/>
              <w:rPr>
                <w:rFonts w:cs="Times-Roman"/>
                <w:szCs w:val="22"/>
              </w:rPr>
            </w:pPr>
            <w:r>
              <w:rPr>
                <w:rFonts w:cs="Times-Roman"/>
                <w:szCs w:val="22"/>
              </w:rPr>
              <w:t>HWB eines sanierten Objektes unter 12.600 kWh/a</w:t>
            </w:r>
          </w:p>
        </w:tc>
        <w:tc>
          <w:tcPr>
            <w:tcW w:w="3544" w:type="dxa"/>
            <w:tcBorders>
              <w:left w:val="nil"/>
            </w:tcBorders>
            <w:shd w:val="clear" w:color="auto" w:fill="auto"/>
          </w:tcPr>
          <w:p w14:paraId="21094E1C" w14:textId="77777777" w:rsidR="002C4A52" w:rsidRDefault="002C4A52" w:rsidP="002D7267">
            <w:pPr>
              <w:ind w:right="-3"/>
              <w:jc w:val="right"/>
              <w:cnfStyle w:val="000000100000" w:firstRow="0" w:lastRow="0" w:firstColumn="0" w:lastColumn="0" w:oddVBand="0" w:evenVBand="0" w:oddHBand="1" w:evenHBand="0" w:firstRowFirstColumn="0" w:firstRowLastColumn="0" w:lastRowFirstColumn="0" w:lastRowLastColumn="0"/>
              <w:rPr>
                <w:rFonts w:cs="Times-Roman"/>
                <w:szCs w:val="22"/>
              </w:rPr>
            </w:pPr>
            <w:r>
              <w:rPr>
                <w:rFonts w:cs="Times-Roman"/>
                <w:szCs w:val="22"/>
              </w:rPr>
              <w:t>€ 100,-</w:t>
            </w:r>
          </w:p>
        </w:tc>
      </w:tr>
    </w:tbl>
    <w:p w14:paraId="74A6D44F" w14:textId="64A89C46" w:rsidR="00BA4F83" w:rsidRDefault="00BA4F83" w:rsidP="002D7267">
      <w:pPr>
        <w:pStyle w:val="berschrift1"/>
        <w:ind w:left="0" w:right="-3"/>
        <w:rPr>
          <w:szCs w:val="22"/>
        </w:rPr>
      </w:pPr>
    </w:p>
    <w:p w14:paraId="338012B4" w14:textId="77777777" w:rsidR="00BA4F83" w:rsidRDefault="00BA4F83">
      <w:pPr>
        <w:rPr>
          <w:rFonts w:eastAsiaTheme="majorEastAsia" w:cstheme="majorBidi"/>
          <w:b/>
          <w:bCs/>
          <w:szCs w:val="22"/>
        </w:rPr>
      </w:pPr>
      <w:r>
        <w:rPr>
          <w:szCs w:val="22"/>
        </w:rPr>
        <w:br w:type="page"/>
      </w:r>
    </w:p>
    <w:p w14:paraId="0E155D4A" w14:textId="716DA9DA" w:rsidR="00BA4F83" w:rsidRPr="001F2E05" w:rsidRDefault="001F2E05" w:rsidP="001F2E05">
      <w:pPr>
        <w:pStyle w:val="berschrift2"/>
      </w:pPr>
      <w:r w:rsidRPr="001F2E05">
        <w:lastRenderedPageBreak/>
        <w:t xml:space="preserve">Sonderförderung Wärmepumpe + PV Anlage in Kombination </w:t>
      </w:r>
    </w:p>
    <w:p w14:paraId="171A15CC" w14:textId="38F2FEDE" w:rsidR="001F2E05" w:rsidRDefault="00EB45E5" w:rsidP="00EB45E5">
      <w:pPr>
        <w:pStyle w:val="berschrift3"/>
      </w:pPr>
      <w:r>
        <w:t xml:space="preserve">Förderungsgegenstand </w:t>
      </w:r>
    </w:p>
    <w:p w14:paraId="5D284A69" w14:textId="6DBB8E16" w:rsidR="00EB45E5" w:rsidRDefault="00EB45E5" w:rsidP="001F2E05"/>
    <w:p w14:paraId="3B16E9BC" w14:textId="551F1D2F" w:rsidR="00EB45E5" w:rsidRPr="00EB45E5" w:rsidRDefault="00EB45E5" w:rsidP="00EB45E5">
      <w:r w:rsidRPr="00EB45E5">
        <w:t xml:space="preserve">Die Gewährung von nichtrückzahlbaren Zuschüssen, wenn </w:t>
      </w:r>
      <w:proofErr w:type="gramStart"/>
      <w:r w:rsidRPr="00EB45E5">
        <w:t>in Ein-und Zweifamilienhäusern</w:t>
      </w:r>
      <w:proofErr w:type="gramEnd"/>
      <w:r w:rsidR="00CF2401">
        <w:t xml:space="preserve"> </w:t>
      </w:r>
      <w:r w:rsidRPr="00EB45E5">
        <w:t>sowie</w:t>
      </w:r>
      <w:r w:rsidR="00CF2401">
        <w:t xml:space="preserve"> </w:t>
      </w:r>
      <w:r w:rsidRPr="00EB45E5">
        <w:t>in</w:t>
      </w:r>
      <w:r w:rsidR="00CF2401">
        <w:t xml:space="preserve"> </w:t>
      </w:r>
      <w:r w:rsidRPr="00EB45E5">
        <w:t>Reihenhäusern</w:t>
      </w:r>
      <w:r w:rsidR="00CF2401">
        <w:t xml:space="preserve"> </w:t>
      </w:r>
      <w:r w:rsidRPr="00EB45E5">
        <w:t xml:space="preserve">im Eigentum, gleichzeitig eine Errichtung einer Photovoltaikanlage in Kombination mit einer Wärmepumpe erfolgt. Die Anlagen müssen zur Versorgung von überwiegend privat Genutzten Wohngebäuden (min. 50 %) dienen. </w:t>
      </w:r>
    </w:p>
    <w:p w14:paraId="4F46CA11" w14:textId="69C2D38D" w:rsidR="00EB45E5" w:rsidRDefault="00EB45E5" w:rsidP="001F2E05"/>
    <w:p w14:paraId="262BCFAA" w14:textId="79CA7968" w:rsidR="00EB45E5" w:rsidRDefault="00EB45E5" w:rsidP="001F2E05"/>
    <w:p w14:paraId="67A08403" w14:textId="77777777" w:rsidR="00EB45E5" w:rsidRDefault="00EB45E5" w:rsidP="001F2E05"/>
    <w:p w14:paraId="755162F5" w14:textId="28FCC378" w:rsidR="001F2E05" w:rsidRDefault="001F2E05" w:rsidP="001F2E05">
      <w:pPr>
        <w:pStyle w:val="berschrift3"/>
      </w:pPr>
      <w:r>
        <w:t xml:space="preserve">Allgemeine Fördervoraussetzungen </w:t>
      </w:r>
      <w:r w:rsidR="00051BC3">
        <w:t>(Auszug)</w:t>
      </w:r>
    </w:p>
    <w:p w14:paraId="16CB0867" w14:textId="060E0ABF" w:rsidR="001F2E05" w:rsidRDefault="001F2E05" w:rsidP="001F2E05"/>
    <w:p w14:paraId="63BF051F" w14:textId="2F137133" w:rsidR="001F2E05" w:rsidRDefault="001F2E05" w:rsidP="001F2E05">
      <w:pPr>
        <w:pStyle w:val="Listenabsatz"/>
        <w:numPr>
          <w:ilvl w:val="0"/>
          <w:numId w:val="15"/>
        </w:numPr>
      </w:pPr>
      <w:r>
        <w:t xml:space="preserve">Anlage muss von einem befugten Unternehme errichtet werden </w:t>
      </w:r>
    </w:p>
    <w:p w14:paraId="17EA8719" w14:textId="3CBD10CA" w:rsidR="001F2E05" w:rsidRDefault="001F2E05" w:rsidP="001F2E05">
      <w:pPr>
        <w:pStyle w:val="Listenabsatz"/>
        <w:numPr>
          <w:ilvl w:val="0"/>
          <w:numId w:val="15"/>
        </w:numPr>
      </w:pPr>
      <w:r>
        <w:t xml:space="preserve">Alle behördlichen Bewilligungen sind vorab ein zu holen </w:t>
      </w:r>
    </w:p>
    <w:p w14:paraId="3C39F751" w14:textId="52B4591E" w:rsidR="001F2E05" w:rsidRDefault="001F2E05" w:rsidP="001F2E05">
      <w:pPr>
        <w:pStyle w:val="Listenabsatz"/>
        <w:numPr>
          <w:ilvl w:val="0"/>
          <w:numId w:val="15"/>
        </w:numPr>
      </w:pPr>
      <w:r>
        <w:t>Die Errichtung ist von 15.10.2019 bis 30.09.2020 umzusetzen.</w:t>
      </w:r>
    </w:p>
    <w:p w14:paraId="6BCBB18E" w14:textId="3499BCBF" w:rsidR="001F2E05" w:rsidRDefault="001F2E05" w:rsidP="001F2E05">
      <w:pPr>
        <w:pStyle w:val="Listenabsatz"/>
        <w:numPr>
          <w:ilvl w:val="0"/>
          <w:numId w:val="15"/>
        </w:numPr>
      </w:pPr>
      <w:r>
        <w:t>Prototypen oder gebrauchte Geräte werden nicht gefördert</w:t>
      </w:r>
    </w:p>
    <w:p w14:paraId="0874652C" w14:textId="55A83864" w:rsidR="001F2E05" w:rsidRDefault="001F2E05" w:rsidP="001F2E05">
      <w:pPr>
        <w:pStyle w:val="Listenabsatz"/>
        <w:numPr>
          <w:ilvl w:val="0"/>
          <w:numId w:val="15"/>
        </w:numPr>
      </w:pPr>
      <w:r>
        <w:t xml:space="preserve">Kombigeräte  mit verschiedenen Funktionen gelten förderungsmäßig als eine Anlage </w:t>
      </w:r>
    </w:p>
    <w:p w14:paraId="49F5B03F" w14:textId="77777777" w:rsidR="001F2E05" w:rsidRPr="001F2E05" w:rsidRDefault="001F2E05" w:rsidP="001F2E05">
      <w:pPr>
        <w:pStyle w:val="Listenabsatz"/>
        <w:numPr>
          <w:ilvl w:val="0"/>
          <w:numId w:val="15"/>
        </w:numPr>
      </w:pPr>
      <w:r w:rsidRPr="001F2E05">
        <w:t>Eine neuerliche Förderung einer gleichen Anlage ist 10Jahre nach Förderzusage möglich</w:t>
      </w:r>
    </w:p>
    <w:p w14:paraId="31883A88" w14:textId="2067C892" w:rsidR="001F2E05" w:rsidRDefault="001F2E05" w:rsidP="001F2E05">
      <w:pPr>
        <w:pStyle w:val="Listenabsatz"/>
        <w:numPr>
          <w:ilvl w:val="0"/>
          <w:numId w:val="15"/>
        </w:numPr>
      </w:pPr>
      <w:r>
        <w:t xml:space="preserve">Nur Hauszentralheizung förderbar </w:t>
      </w:r>
    </w:p>
    <w:p w14:paraId="476096AB" w14:textId="77777777" w:rsidR="001F2E05" w:rsidRPr="001F2E05" w:rsidRDefault="001F2E05" w:rsidP="001F2E05">
      <w:pPr>
        <w:pStyle w:val="Listenabsatz"/>
        <w:numPr>
          <w:ilvl w:val="0"/>
          <w:numId w:val="15"/>
        </w:numPr>
      </w:pPr>
      <w:r w:rsidRPr="001F2E05">
        <w:t>Doppelförderungen von Alternativenergieanlagen sind im Rahmen dieser Richtlinie in Bezug auf öffentliche Landes-oder Bundesförderungen nicht zulässig(ausgenommen Sonderförderaktionen).</w:t>
      </w:r>
    </w:p>
    <w:p w14:paraId="48864EB9" w14:textId="77777777" w:rsidR="001F2E05" w:rsidRPr="001F2E05" w:rsidRDefault="001F2E05" w:rsidP="001F2E05">
      <w:pPr>
        <w:pStyle w:val="Listenabsatz"/>
        <w:numPr>
          <w:ilvl w:val="0"/>
          <w:numId w:val="15"/>
        </w:numPr>
      </w:pPr>
    </w:p>
    <w:p w14:paraId="1C168915" w14:textId="68E2E117" w:rsidR="001F2E05" w:rsidRDefault="00BB0CDF" w:rsidP="00BB0CDF">
      <w:pPr>
        <w:pStyle w:val="berschrift3"/>
      </w:pPr>
      <w:r>
        <w:t xml:space="preserve">Technische Fördervoraussetzungen </w:t>
      </w:r>
      <w:r w:rsidR="00051BC3">
        <w:t>(Auszug)</w:t>
      </w:r>
    </w:p>
    <w:p w14:paraId="6FCDE64A" w14:textId="4908A8E8" w:rsidR="00BB0CDF" w:rsidRDefault="00BB0CDF" w:rsidP="001F2E05"/>
    <w:p w14:paraId="6C44A837" w14:textId="714DDA84" w:rsidR="00BB0CDF" w:rsidRDefault="00051BC3" w:rsidP="001F2E05">
      <w:r>
        <w:t>Heizungswärmepumpe:</w:t>
      </w:r>
    </w:p>
    <w:p w14:paraId="52C4E51A" w14:textId="6695E6B1" w:rsidR="00051BC3" w:rsidRDefault="00051BC3" w:rsidP="001F2E05"/>
    <w:p w14:paraId="6EEA7C05" w14:textId="437DFBAC" w:rsidR="00051BC3" w:rsidRDefault="00051BC3" w:rsidP="00051BC3">
      <w:pPr>
        <w:pStyle w:val="Listenabsatz"/>
        <w:numPr>
          <w:ilvl w:val="0"/>
          <w:numId w:val="15"/>
        </w:numPr>
      </w:pPr>
      <w:r>
        <w:t xml:space="preserve">Die Jahresarbeitszahl (JAZ) </w:t>
      </w:r>
      <w:r w:rsidRPr="00051BC3">
        <w:t>für Heizungswärmepumpenmuss mindestens 4,0 betragen</w:t>
      </w:r>
    </w:p>
    <w:p w14:paraId="67AB0928" w14:textId="77777777" w:rsidR="00051BC3" w:rsidRPr="00051BC3" w:rsidRDefault="00051BC3" w:rsidP="00051BC3">
      <w:pPr>
        <w:pStyle w:val="Listenabsatz"/>
        <w:numPr>
          <w:ilvl w:val="0"/>
          <w:numId w:val="15"/>
        </w:numPr>
      </w:pPr>
      <w:r w:rsidRPr="00051BC3">
        <w:t xml:space="preserve">Die Wärmeverteilung hat mittels Niedertemperatur-Verteilsystem (Fußbodenheizung, Wandheizung) zu erfolgen. </w:t>
      </w:r>
    </w:p>
    <w:p w14:paraId="4A0E18E9" w14:textId="6CF1FB63" w:rsidR="00051BC3" w:rsidRPr="00051BC3" w:rsidRDefault="00051BC3" w:rsidP="00051BC3">
      <w:pPr>
        <w:pStyle w:val="Listenabsatz"/>
        <w:numPr>
          <w:ilvl w:val="0"/>
          <w:numId w:val="15"/>
        </w:numPr>
      </w:pPr>
      <w:r w:rsidRPr="00051BC3">
        <w:t>In begründeten Ausnahmefällen kann die Jahresarbeitszahl unter 4 (jedenfalls min.3) betragen, Begründete Ausnahmefälle sind:Passivhausstandard, sehr kleine Wohngebäude, überdurchschnittlich hoher Warmwasserwärmebedarf im Vergleich zum Heizwärmebedarf.</w:t>
      </w:r>
    </w:p>
    <w:p w14:paraId="05240A9E" w14:textId="77777777" w:rsidR="00051BC3" w:rsidRPr="00051BC3" w:rsidRDefault="00051BC3" w:rsidP="00051BC3">
      <w:pPr>
        <w:pStyle w:val="Listenabsatz"/>
        <w:numPr>
          <w:ilvl w:val="0"/>
          <w:numId w:val="15"/>
        </w:numPr>
      </w:pPr>
      <w:r w:rsidRPr="00051BC3">
        <w:t>Hybrid-Wärmepumpen oder bivalent betriebene Wärmepumpen</w:t>
      </w:r>
    </w:p>
    <w:p w14:paraId="73E9B2D9" w14:textId="77777777" w:rsidR="00051BC3" w:rsidRPr="00051BC3" w:rsidRDefault="00051BC3" w:rsidP="00051BC3">
      <w:pPr>
        <w:pStyle w:val="Listenabsatz"/>
        <w:numPr>
          <w:ilvl w:val="0"/>
          <w:numId w:val="15"/>
        </w:numPr>
      </w:pPr>
      <w:r w:rsidRPr="00051BC3">
        <w:t>Zur Leistungsüberwachung der Anlage ist eine geeignete Mess-</w:t>
      </w:r>
      <w:proofErr w:type="spellStart"/>
      <w:r w:rsidRPr="00051BC3">
        <w:t>bzw.Kontrolleinrichtung</w:t>
      </w:r>
      <w:proofErr w:type="spellEnd"/>
      <w:r w:rsidRPr="00051BC3">
        <w:t>, z.B. ein Wärmemengenzähler oder eine dafür geeignete Steuerung, zu installieren.</w:t>
      </w:r>
    </w:p>
    <w:p w14:paraId="2924736F" w14:textId="77777777" w:rsidR="00051BC3" w:rsidRPr="00051BC3" w:rsidRDefault="00051BC3" w:rsidP="00051BC3">
      <w:pPr>
        <w:pStyle w:val="Listenabsatz"/>
        <w:numPr>
          <w:ilvl w:val="0"/>
          <w:numId w:val="15"/>
        </w:numPr>
      </w:pPr>
      <w:r w:rsidRPr="00051BC3">
        <w:t xml:space="preserve">Die Heizungswärmepumpe ist über einen separaten </w:t>
      </w:r>
      <w:proofErr w:type="spellStart"/>
      <w:r w:rsidRPr="00051BC3">
        <w:t>Stromzähleran</w:t>
      </w:r>
      <w:proofErr w:type="spellEnd"/>
      <w:r w:rsidRPr="00051BC3">
        <w:t xml:space="preserve"> das Stromnetz </w:t>
      </w:r>
      <w:proofErr w:type="spellStart"/>
      <w:r w:rsidRPr="00051BC3">
        <w:t>anzuschließen,falls</w:t>
      </w:r>
      <w:proofErr w:type="spellEnd"/>
      <w:r w:rsidRPr="00051BC3">
        <w:t xml:space="preserve"> eine Stromzählung durch die Steuerung der Wärmepumpe nicht möglich ist.</w:t>
      </w:r>
    </w:p>
    <w:p w14:paraId="05571603" w14:textId="77777777" w:rsidR="00051BC3" w:rsidRPr="00051BC3" w:rsidRDefault="00051BC3" w:rsidP="00051BC3">
      <w:pPr>
        <w:pStyle w:val="Listenabsatz"/>
        <w:numPr>
          <w:ilvl w:val="0"/>
          <w:numId w:val="15"/>
        </w:numPr>
      </w:pPr>
      <w:r w:rsidRPr="00051BC3">
        <w:t xml:space="preserve">Eine Heizlastberechnung oder ein gültiger Energieausweis (darf nicht älter als 10 Jahre </w:t>
      </w:r>
      <w:proofErr w:type="spellStart"/>
      <w:r w:rsidRPr="00051BC3">
        <w:t>seinund</w:t>
      </w:r>
      <w:proofErr w:type="spellEnd"/>
      <w:r w:rsidRPr="00051BC3">
        <w:t xml:space="preserve"> muss dem tatsächlichen Zustand des Objektes entsprechen)für das Objekt ist in jedem Fall vorzulegen.</w:t>
      </w:r>
    </w:p>
    <w:p w14:paraId="0ECAADD6" w14:textId="77777777" w:rsidR="00051BC3" w:rsidRPr="00051BC3" w:rsidRDefault="00051BC3" w:rsidP="00051BC3">
      <w:pPr>
        <w:pStyle w:val="Listenabsatz"/>
        <w:numPr>
          <w:ilvl w:val="0"/>
          <w:numId w:val="15"/>
        </w:numPr>
      </w:pPr>
      <w:r w:rsidRPr="00051BC3">
        <w:t xml:space="preserve">Liegt die Nennwärmeleistung </w:t>
      </w:r>
      <w:proofErr w:type="spellStart"/>
      <w:r w:rsidRPr="00051BC3">
        <w:t>einernicht</w:t>
      </w:r>
      <w:proofErr w:type="spellEnd"/>
      <w:r w:rsidRPr="00051BC3">
        <w:t xml:space="preserve"> modulierenden Wärmepumpenanlage um mehr als 10% über der Gebäudeheizlast, so ist ein Pufferspeicher mit einem </w:t>
      </w:r>
      <w:proofErr w:type="spellStart"/>
      <w:r w:rsidRPr="00051BC3">
        <w:t>Fassungsvermögenvon</w:t>
      </w:r>
      <w:proofErr w:type="spellEnd"/>
      <w:r w:rsidRPr="00051BC3">
        <w:t xml:space="preserve"> mindestens50Liter je kW Nennwärmeleistung der Wärmepumpenanlagevorzusehen. </w:t>
      </w:r>
    </w:p>
    <w:p w14:paraId="09754E5C" w14:textId="77777777" w:rsidR="00051BC3" w:rsidRPr="00051BC3" w:rsidRDefault="00051BC3" w:rsidP="00051BC3">
      <w:pPr>
        <w:pStyle w:val="Listenabsatz"/>
        <w:numPr>
          <w:ilvl w:val="0"/>
          <w:numId w:val="15"/>
        </w:numPr>
      </w:pPr>
      <w:r w:rsidRPr="00051BC3">
        <w:t>Nachweis über EHPA Gütesiegel</w:t>
      </w:r>
    </w:p>
    <w:p w14:paraId="532CC834" w14:textId="2950E997" w:rsidR="00051BC3" w:rsidRDefault="00051BC3" w:rsidP="00051BC3"/>
    <w:p w14:paraId="3F3D3B61" w14:textId="77777777" w:rsidR="00051BC3" w:rsidRPr="00051BC3" w:rsidRDefault="00051BC3" w:rsidP="00051BC3">
      <w:r w:rsidRPr="00051BC3">
        <w:t>Photovoltaikanlage</w:t>
      </w:r>
    </w:p>
    <w:p w14:paraId="201E1D26" w14:textId="77777777" w:rsidR="00051BC3" w:rsidRPr="00051BC3" w:rsidRDefault="00051BC3" w:rsidP="00051BC3"/>
    <w:p w14:paraId="417EB337" w14:textId="7FFD44E3" w:rsidR="00EB45E5" w:rsidRPr="00EB45E5" w:rsidRDefault="00EB45E5" w:rsidP="00EB45E5">
      <w:pPr>
        <w:pStyle w:val="Listenabsatz"/>
        <w:numPr>
          <w:ilvl w:val="0"/>
          <w:numId w:val="15"/>
        </w:numPr>
      </w:pPr>
      <w:r w:rsidRPr="00EB45E5">
        <w:t xml:space="preserve">Die Photovoltaikanlage muss zur Versorgung von privaten Wohngebäuden dienen. Die zu Wohnzwecken dienende Fläche muss mehr als 50% des </w:t>
      </w:r>
      <w:proofErr w:type="spellStart"/>
      <w:r w:rsidRPr="00EB45E5">
        <w:t>Gesamtgebäudesbetragen</w:t>
      </w:r>
      <w:proofErr w:type="spellEnd"/>
      <w:r w:rsidRPr="00EB45E5">
        <w:t>.</w:t>
      </w:r>
    </w:p>
    <w:p w14:paraId="4D658B51" w14:textId="77777777" w:rsidR="00EB45E5" w:rsidRPr="00EB45E5" w:rsidRDefault="00EB45E5" w:rsidP="00EB45E5">
      <w:pPr>
        <w:pStyle w:val="Listenabsatz"/>
        <w:numPr>
          <w:ilvl w:val="0"/>
          <w:numId w:val="15"/>
        </w:numPr>
      </w:pPr>
      <w:r w:rsidRPr="00EB45E5">
        <w:lastRenderedPageBreak/>
        <w:t xml:space="preserve">Die Mindestgröße der Photovoltaikanlage muss eine </w:t>
      </w:r>
      <w:proofErr w:type="spellStart"/>
      <w:r w:rsidRPr="00EB45E5">
        <w:t>anerkennbare</w:t>
      </w:r>
      <w:proofErr w:type="spellEnd"/>
      <w:r w:rsidRPr="00EB45E5">
        <w:t xml:space="preserve"> Leistung von mind.3 </w:t>
      </w:r>
      <w:proofErr w:type="spellStart"/>
      <w:r w:rsidRPr="00EB45E5">
        <w:t>kWpeak</w:t>
      </w:r>
      <w:proofErr w:type="spellEnd"/>
      <w:r w:rsidRPr="00EB45E5">
        <w:t xml:space="preserve"> erreichen. Der standortspezifisch gewährleistete Jahreseintrag muss mindestens 700 kWh pro </w:t>
      </w:r>
      <w:proofErr w:type="spellStart"/>
      <w:r w:rsidRPr="00EB45E5">
        <w:t>kWpeak</w:t>
      </w:r>
      <w:proofErr w:type="spellEnd"/>
      <w:r w:rsidRPr="00EB45E5">
        <w:t xml:space="preserve"> betragen.</w:t>
      </w:r>
    </w:p>
    <w:p w14:paraId="0495E64C" w14:textId="77777777" w:rsidR="00EB45E5" w:rsidRPr="00EB45E5" w:rsidRDefault="00EB45E5" w:rsidP="00EB45E5">
      <w:pPr>
        <w:pStyle w:val="Listenabsatz"/>
        <w:numPr>
          <w:ilvl w:val="0"/>
          <w:numId w:val="15"/>
        </w:numPr>
      </w:pPr>
      <w:r w:rsidRPr="00EB45E5">
        <w:t xml:space="preserve">Die Errichtung und Inbetriebnahme der Anlage </w:t>
      </w:r>
      <w:proofErr w:type="gramStart"/>
      <w:r w:rsidRPr="00EB45E5">
        <w:t>hat</w:t>
      </w:r>
      <w:proofErr w:type="gramEnd"/>
      <w:r w:rsidRPr="00EB45E5">
        <w:t xml:space="preserve"> durch ein befugtes Unternehmen unter zu erfolgen.</w:t>
      </w:r>
    </w:p>
    <w:p w14:paraId="74863529" w14:textId="77777777" w:rsidR="00EB45E5" w:rsidRPr="00EB45E5" w:rsidRDefault="00EB45E5" w:rsidP="00EB45E5">
      <w:pPr>
        <w:pStyle w:val="Listenabsatz"/>
        <w:numPr>
          <w:ilvl w:val="0"/>
          <w:numId w:val="15"/>
        </w:numPr>
      </w:pPr>
      <w:r w:rsidRPr="00EB45E5">
        <w:t>Ein aufrechter Netzzugangsvertrag mit dem Netzbetreiber ist vorzulegen.</w:t>
      </w:r>
    </w:p>
    <w:p w14:paraId="7AA3FEF5" w14:textId="77777777" w:rsidR="00EB45E5" w:rsidRPr="00EB45E5" w:rsidRDefault="00EB45E5" w:rsidP="00EB45E5">
      <w:pPr>
        <w:pStyle w:val="Listenabsatz"/>
        <w:numPr>
          <w:ilvl w:val="0"/>
          <w:numId w:val="15"/>
        </w:numPr>
      </w:pPr>
      <w:r w:rsidRPr="00EB45E5">
        <w:t>Eigenbauanlagen, Prototypen oder gebrauchte Anlagen werden nicht gefördert.</w:t>
      </w:r>
    </w:p>
    <w:p w14:paraId="2BF471A9" w14:textId="4B9E80AF" w:rsidR="00EB45E5" w:rsidRPr="00EB45E5" w:rsidRDefault="00EB45E5" w:rsidP="00EB45E5">
      <w:pPr>
        <w:rPr>
          <w:rFonts w:ascii="Times New Roman" w:eastAsia="Times New Roman" w:hAnsi="Times New Roman" w:cs="Times New Roman"/>
          <w:sz w:val="24"/>
        </w:rPr>
      </w:pPr>
    </w:p>
    <w:p w14:paraId="1FC002BF" w14:textId="1B6F919A" w:rsidR="00051BC3" w:rsidRDefault="00051BC3" w:rsidP="00EB45E5"/>
    <w:p w14:paraId="5CEEC836" w14:textId="521DC94C" w:rsidR="00051BC3" w:rsidRDefault="00EB45E5" w:rsidP="00EB45E5">
      <w:pPr>
        <w:pStyle w:val="berschrift3"/>
      </w:pPr>
      <w:r>
        <w:t>Förderhöhe</w:t>
      </w:r>
    </w:p>
    <w:p w14:paraId="5BC04F2F" w14:textId="7BAAB176" w:rsidR="00EB45E5" w:rsidRDefault="00EB45E5" w:rsidP="001F2E05"/>
    <w:p w14:paraId="1C026CB6" w14:textId="77777777" w:rsidR="00EB45E5" w:rsidRPr="00614AEB" w:rsidRDefault="00EB45E5" w:rsidP="00EB45E5">
      <w:r w:rsidRPr="00EB45E5">
        <w:t>Förderungsgegenstand Photovoltaikanalgen</w:t>
      </w:r>
    </w:p>
    <w:p w14:paraId="7B3B27A9" w14:textId="77777777" w:rsidR="00EB45E5" w:rsidRPr="00614AEB" w:rsidRDefault="00EB45E5" w:rsidP="00EB45E5"/>
    <w:p w14:paraId="4C77349B" w14:textId="73DCDDF0" w:rsidR="00EB45E5" w:rsidRPr="00614AEB" w:rsidRDefault="00EB45E5" w:rsidP="00EB45E5">
      <w:r w:rsidRPr="00614AEB">
        <w:t>D</w:t>
      </w:r>
      <w:r w:rsidRPr="00EB45E5">
        <w:t xml:space="preserve">ie Errichtung von netzgeführten Stromerzeugungsanlagen auf solarer Basis ein nichtrückzahlbarer Zuschuss in der Höhe von 30% der förderfähigen Kosten bis max. 325,--Euro je </w:t>
      </w:r>
      <w:proofErr w:type="spellStart"/>
      <w:r w:rsidRPr="00EB45E5">
        <w:t>kWpeak</w:t>
      </w:r>
      <w:proofErr w:type="spellEnd"/>
      <w:r w:rsidRPr="00614AEB">
        <w:t xml:space="preserve"> </w:t>
      </w:r>
      <w:r w:rsidRPr="00EB45E5">
        <w:t>gewährt werden. Die für eine Förderung an</w:t>
      </w:r>
      <w:r w:rsidRPr="00614AEB">
        <w:t xml:space="preserve"> </w:t>
      </w:r>
      <w:r w:rsidRPr="00EB45E5">
        <w:t xml:space="preserve">erkennbare Höchstleistung beträgt 8 </w:t>
      </w:r>
      <w:proofErr w:type="spellStart"/>
      <w:r w:rsidRPr="00EB45E5">
        <w:t>kWpeak</w:t>
      </w:r>
      <w:proofErr w:type="spellEnd"/>
      <w:r w:rsidRPr="00EB45E5">
        <w:t>; diese resultiert aus der Leistung der tatsächlich installierten Module (Flash-Wert Liste).</w:t>
      </w:r>
    </w:p>
    <w:p w14:paraId="129CE3EA" w14:textId="40436094" w:rsidR="00EB45E5" w:rsidRPr="00EB45E5" w:rsidRDefault="00EB45E5" w:rsidP="00EB45E5">
      <w:r w:rsidRPr="00614AEB">
        <w:t>D</w:t>
      </w:r>
      <w:r w:rsidRPr="00EB45E5">
        <w:t>ie Errichtung von netzgeführten Stromerzeugungsanlagen auf solarer Basis in Verbindung mit einem Stromspeichersystem ein nichtrückzahlbarer Zuschuss in der Höhe von 30% der förderfähigen Kosten bis max. 5.850,--Eurogewährt werden. Die max. Fördersumme resultiert aus max. 8kWpeak PV zu je 325,--Euro und max. 10 kWh nutzbare Speicherkapazität zu je 325,--Euro.</w:t>
      </w:r>
    </w:p>
    <w:p w14:paraId="5E66F194" w14:textId="2E4EA265" w:rsidR="00EB45E5" w:rsidRDefault="00EB45E5" w:rsidP="001F2E05"/>
    <w:p w14:paraId="28B84FC3" w14:textId="3BF600CC" w:rsidR="00614AEB" w:rsidRPr="00614AEB" w:rsidRDefault="00614AEB" w:rsidP="00614AEB">
      <w:r w:rsidRPr="00614AEB">
        <w:t>Die Nachrüstung bestehender PV Anlagen mit einem Stromspeichersystem ein nichtrückzahlbarer Zuschuss in der Höhe von 30% der förderfähigen Kosten bis max. 325,--Euro je kWh nutzbarer Speicherkapazität gewährt werden. Die für eine Förderung an erkennbare Höchstspeicherkapazität beträgt 10 kWh.</w:t>
      </w:r>
    </w:p>
    <w:p w14:paraId="19B8B830" w14:textId="67896AC9" w:rsidR="00EB45E5" w:rsidRDefault="00EB45E5" w:rsidP="001F2E05"/>
    <w:p w14:paraId="1728ABF5" w14:textId="37132B99" w:rsidR="00614AEB" w:rsidRDefault="00614AEB" w:rsidP="001F2E05">
      <w:r>
        <w:t xml:space="preserve">Für die genau Förderungsgegenstand Wärmepumpe siehe: </w:t>
      </w:r>
      <w:hyperlink r:id="rId12" w:history="1">
        <w:r w:rsidRPr="00BE661A">
          <w:rPr>
            <w:rStyle w:val="Hyperlink"/>
          </w:rPr>
          <w:t>https://www.burgenland.at/fileadmin/user_upload/Richtlinie_WP_PV_final_nach_Sitzung.pdf</w:t>
        </w:r>
      </w:hyperlink>
    </w:p>
    <w:p w14:paraId="3E106BD6" w14:textId="29D742D7" w:rsidR="00614AEB" w:rsidRDefault="00614AEB" w:rsidP="001F2E05">
      <w:r>
        <w:t xml:space="preserve">Seite 3 – 6 </w:t>
      </w:r>
    </w:p>
    <w:p w14:paraId="422C08A6" w14:textId="2E549A47" w:rsidR="00614AEB" w:rsidRDefault="00614AEB" w:rsidP="001F2E05"/>
    <w:p w14:paraId="7EAF64B0" w14:textId="7C197530" w:rsidR="00614AEB" w:rsidRDefault="00614AEB" w:rsidP="001F2E05">
      <w:r>
        <w:t>Für nähere Details siehe :</w:t>
      </w:r>
    </w:p>
    <w:p w14:paraId="0F363C97" w14:textId="6D376969" w:rsidR="00614AEB" w:rsidRDefault="00614AEB" w:rsidP="001F2E05">
      <w:hyperlink r:id="rId13" w:history="1">
        <w:r w:rsidRPr="00BE661A">
          <w:rPr>
            <w:rStyle w:val="Hyperlink"/>
          </w:rPr>
          <w:t>https://www.burgenland.at/fileadmin/user_upload/Richtlinie_WP_PV_final_nach_Sitzung.pdf</w:t>
        </w:r>
      </w:hyperlink>
    </w:p>
    <w:p w14:paraId="25AE663D" w14:textId="77777777" w:rsidR="00614AEB" w:rsidRDefault="00614AEB" w:rsidP="001F2E05"/>
    <w:p w14:paraId="2DBE4F6B" w14:textId="77777777" w:rsidR="00EB45E5" w:rsidRDefault="00EB45E5" w:rsidP="001F2E05"/>
    <w:p w14:paraId="33EA6BF2" w14:textId="433BE72D" w:rsidR="001F2E05" w:rsidRDefault="001F2E05">
      <w:r>
        <w:br w:type="page"/>
      </w:r>
    </w:p>
    <w:p w14:paraId="6C206F07" w14:textId="77777777" w:rsidR="001F2E05" w:rsidRPr="001F2E05" w:rsidRDefault="001F2E05" w:rsidP="001F2E05"/>
    <w:p w14:paraId="0A988983" w14:textId="43E649B7" w:rsidR="000A1720" w:rsidRDefault="000A1720" w:rsidP="002D7267">
      <w:pPr>
        <w:pStyle w:val="berschrift1"/>
        <w:ind w:left="0" w:right="-3"/>
        <w:rPr>
          <w:szCs w:val="22"/>
        </w:rPr>
      </w:pPr>
      <w:r>
        <w:rPr>
          <w:szCs w:val="22"/>
        </w:rPr>
        <w:t>Sonstige Förderungen und Voraussetzungen</w:t>
      </w:r>
    </w:p>
    <w:p w14:paraId="453C3035" w14:textId="0EEC8533" w:rsidR="00B6383C" w:rsidRDefault="000A1720" w:rsidP="002D7267">
      <w:pPr>
        <w:ind w:right="-3"/>
      </w:pPr>
      <w:r>
        <w:t>Alle Details zu den Förderungen bei solaren Anlagen, Fernwärme aber auch Biomasseheizungen entnehmen Sie bitte dem Formular „Richtlinie 201</w:t>
      </w:r>
      <w:r w:rsidR="002C4A52">
        <w:t>9</w:t>
      </w:r>
      <w:r>
        <w:t xml:space="preserve"> Alternativenergieanlagen Ein- und Zweifamilienhäuser. </w:t>
      </w:r>
      <w:hyperlink r:id="rId14" w:history="1">
        <w:r w:rsidR="00B6383C" w:rsidRPr="00B6383C">
          <w:rPr>
            <w:rStyle w:val="Hyperlink"/>
          </w:rPr>
          <w:t>DOWNLOAD</w:t>
        </w:r>
      </w:hyperlink>
    </w:p>
    <w:p w14:paraId="1CC8DF56" w14:textId="77777777" w:rsidR="000A1720" w:rsidRPr="000A1720" w:rsidRDefault="000A1720" w:rsidP="002D7267">
      <w:pPr>
        <w:ind w:right="-3"/>
      </w:pPr>
    </w:p>
    <w:p w14:paraId="532674E7" w14:textId="77777777" w:rsidR="004B661B" w:rsidRPr="00C94412" w:rsidRDefault="002D5F49" w:rsidP="002D7267">
      <w:pPr>
        <w:pStyle w:val="berschrift1"/>
        <w:ind w:right="-3"/>
      </w:pPr>
      <w:r w:rsidRPr="00C94412">
        <w:t>Detaillierte</w:t>
      </w:r>
      <w:r w:rsidR="007A3170" w:rsidRPr="00C94412">
        <w:t xml:space="preserve"> Informationen </w:t>
      </w:r>
    </w:p>
    <w:p w14:paraId="055F9192" w14:textId="7839F082" w:rsidR="002D70A8" w:rsidRDefault="003B2805" w:rsidP="002D7267">
      <w:pPr>
        <w:ind w:left="-567" w:right="-3"/>
        <w:jc w:val="both"/>
      </w:pPr>
      <w:r>
        <w:t>Amt der Burgenländischen Landesregierung</w:t>
      </w:r>
    </w:p>
    <w:p w14:paraId="41370EA7" w14:textId="255E6318" w:rsidR="003B2805" w:rsidRPr="00C94412" w:rsidRDefault="003B2805" w:rsidP="002D7267">
      <w:pPr>
        <w:ind w:left="-567" w:right="-3"/>
        <w:jc w:val="both"/>
      </w:pPr>
      <w:r>
        <w:t>Abteilung 3 – Finanzen, Hauptreferat Wohnbauförderung</w:t>
      </w:r>
    </w:p>
    <w:p w14:paraId="3E6044BD" w14:textId="73910404" w:rsidR="002D70A8" w:rsidRPr="00C94412" w:rsidRDefault="003B2805" w:rsidP="002D7267">
      <w:pPr>
        <w:ind w:left="-567" w:right="-3"/>
        <w:jc w:val="both"/>
      </w:pPr>
      <w:r>
        <w:t>Europaplatz 1</w:t>
      </w:r>
    </w:p>
    <w:p w14:paraId="0E39D111" w14:textId="77777777" w:rsidR="002D70A8" w:rsidRPr="00C94412" w:rsidRDefault="002D70A8" w:rsidP="002D7267">
      <w:pPr>
        <w:ind w:left="-567" w:right="-3"/>
        <w:jc w:val="both"/>
      </w:pPr>
      <w:r w:rsidRPr="00C94412">
        <w:t>7000 Eisenstadt</w:t>
      </w:r>
    </w:p>
    <w:p w14:paraId="5B163AD0" w14:textId="6255F2F9" w:rsidR="002D70A8" w:rsidRDefault="003B2805" w:rsidP="002D7267">
      <w:pPr>
        <w:ind w:left="-567" w:right="-3"/>
        <w:jc w:val="both"/>
      </w:pPr>
      <w:r>
        <w:t>INFO-Hotline:</w:t>
      </w:r>
      <w:r w:rsidR="002D70A8" w:rsidRPr="00C94412">
        <w:t xml:space="preserve"> 05</w:t>
      </w:r>
      <w:r>
        <w:t>7</w:t>
      </w:r>
      <w:r w:rsidR="002D70A8" w:rsidRPr="00C94412">
        <w:t>/</w:t>
      </w:r>
      <w:r>
        <w:t>600/2801</w:t>
      </w:r>
    </w:p>
    <w:p w14:paraId="798FED4E" w14:textId="218FB66F" w:rsidR="000C7719" w:rsidRDefault="000C7719" w:rsidP="002D7267">
      <w:pPr>
        <w:ind w:left="-567" w:right="-3"/>
        <w:jc w:val="both"/>
      </w:pPr>
      <w:r>
        <w:t>Fax: 057/600/2060</w:t>
      </w:r>
    </w:p>
    <w:p w14:paraId="36CA1455" w14:textId="24C6A521" w:rsidR="004B661B" w:rsidRDefault="008207E3" w:rsidP="002D7267">
      <w:pPr>
        <w:ind w:left="-567" w:right="-3"/>
        <w:jc w:val="both"/>
      </w:pPr>
      <w:r>
        <w:t xml:space="preserve">E-Mail: </w:t>
      </w:r>
      <w:hyperlink r:id="rId15" w:history="1">
        <w:r w:rsidRPr="008207E3">
          <w:rPr>
            <w:rStyle w:val="Hyperlink"/>
          </w:rPr>
          <w:t>post.a3-energie@bgld.gv.at</w:t>
        </w:r>
      </w:hyperlink>
    </w:p>
    <w:sectPr w:rsidR="004B661B" w:rsidSect="00017DB9">
      <w:footerReference w:type="default" r:id="rId16"/>
      <w:pgSz w:w="11900" w:h="16840"/>
      <w:pgMar w:top="1418" w:right="9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DA05" w14:textId="77777777" w:rsidR="00764811" w:rsidRDefault="00764811">
      <w:r>
        <w:separator/>
      </w:r>
    </w:p>
  </w:endnote>
  <w:endnote w:type="continuationSeparator" w:id="0">
    <w:p w14:paraId="0A8D9FC7" w14:textId="77777777" w:rsidR="00764811" w:rsidRDefault="0076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95B2" w14:textId="77777777" w:rsidR="003F5D08" w:rsidRPr="00A1700C" w:rsidRDefault="003F5D08" w:rsidP="0026677B">
    <w:pPr>
      <w:pStyle w:val="Fuzeile"/>
      <w:rPr>
        <w:sz w:val="20"/>
      </w:rPr>
    </w:pPr>
    <w:r w:rsidRPr="00A1700C">
      <w:rPr>
        <w:sz w:val="20"/>
      </w:rPr>
      <w:t>Bei der Erstellung der Unterlagen wurde mit größter Sorgfalt gearbeitet. Fehler können jedoch nicht ausgeschlossen werden. Vor einer Investitionsentscheidung kontaktieren Sie bitte die zuständige Förderstelle.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7EF2" w14:textId="77777777" w:rsidR="00764811" w:rsidRDefault="00764811">
      <w:r>
        <w:separator/>
      </w:r>
    </w:p>
  </w:footnote>
  <w:footnote w:type="continuationSeparator" w:id="0">
    <w:p w14:paraId="113C7DA5" w14:textId="77777777" w:rsidR="00764811" w:rsidRDefault="0076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44"/>
    <w:multiLevelType w:val="hybridMultilevel"/>
    <w:tmpl w:val="76AAF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37CF2"/>
    <w:multiLevelType w:val="hybridMultilevel"/>
    <w:tmpl w:val="22F6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D140E"/>
    <w:multiLevelType w:val="hybridMultilevel"/>
    <w:tmpl w:val="2652729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1D533D0F"/>
    <w:multiLevelType w:val="hybridMultilevel"/>
    <w:tmpl w:val="59EC0A6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23233278"/>
    <w:multiLevelType w:val="hybridMultilevel"/>
    <w:tmpl w:val="8E4C7782"/>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5" w15:restartNumberingAfterBreak="0">
    <w:nsid w:val="2A4E22AC"/>
    <w:multiLevelType w:val="hybridMultilevel"/>
    <w:tmpl w:val="B4F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55ADA"/>
    <w:multiLevelType w:val="hybridMultilevel"/>
    <w:tmpl w:val="42425CD8"/>
    <w:lvl w:ilvl="0" w:tplc="A4A0129C">
      <w:numFmt w:val="bullet"/>
      <w:lvlText w:val="-"/>
      <w:lvlJc w:val="left"/>
      <w:pPr>
        <w:ind w:left="720" w:hanging="360"/>
      </w:pPr>
      <w:rPr>
        <w:rFonts w:ascii="Times" w:eastAsiaTheme="minorEastAsia"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C66413"/>
    <w:multiLevelType w:val="hybridMultilevel"/>
    <w:tmpl w:val="F184F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967690"/>
    <w:multiLevelType w:val="multilevel"/>
    <w:tmpl w:val="7EE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97084"/>
    <w:multiLevelType w:val="hybridMultilevel"/>
    <w:tmpl w:val="A54A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6B02F1"/>
    <w:multiLevelType w:val="hybridMultilevel"/>
    <w:tmpl w:val="D4660618"/>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1" w15:restartNumberingAfterBreak="0">
    <w:nsid w:val="6B7D6CB2"/>
    <w:multiLevelType w:val="hybridMultilevel"/>
    <w:tmpl w:val="64745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1833B2"/>
    <w:multiLevelType w:val="hybridMultilevel"/>
    <w:tmpl w:val="461AD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943774"/>
    <w:multiLevelType w:val="hybridMultilevel"/>
    <w:tmpl w:val="39561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3DE6"/>
    <w:multiLevelType w:val="hybridMultilevel"/>
    <w:tmpl w:val="BF4C6D2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8"/>
  </w:num>
  <w:num w:numId="2">
    <w:abstractNumId w:val="3"/>
  </w:num>
  <w:num w:numId="3">
    <w:abstractNumId w:val="10"/>
  </w:num>
  <w:num w:numId="4">
    <w:abstractNumId w:val="14"/>
  </w:num>
  <w:num w:numId="5">
    <w:abstractNumId w:val="4"/>
  </w:num>
  <w:num w:numId="6">
    <w:abstractNumId w:val="7"/>
  </w:num>
  <w:num w:numId="7">
    <w:abstractNumId w:val="2"/>
  </w:num>
  <w:num w:numId="8">
    <w:abstractNumId w:val="5"/>
  </w:num>
  <w:num w:numId="9">
    <w:abstractNumId w:val="9"/>
  </w:num>
  <w:num w:numId="10">
    <w:abstractNumId w:val="11"/>
  </w:num>
  <w:num w:numId="11">
    <w:abstractNumId w:val="13"/>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D"/>
    <w:rsid w:val="00017DB9"/>
    <w:rsid w:val="00051BC3"/>
    <w:rsid w:val="000809B5"/>
    <w:rsid w:val="000A1720"/>
    <w:rsid w:val="000A2081"/>
    <w:rsid w:val="000A259E"/>
    <w:rsid w:val="000C7719"/>
    <w:rsid w:val="000D0D86"/>
    <w:rsid w:val="00117CF2"/>
    <w:rsid w:val="00140971"/>
    <w:rsid w:val="001843C9"/>
    <w:rsid w:val="001F2E05"/>
    <w:rsid w:val="00241668"/>
    <w:rsid w:val="002421B5"/>
    <w:rsid w:val="0026677B"/>
    <w:rsid w:val="00286257"/>
    <w:rsid w:val="00286DF7"/>
    <w:rsid w:val="0029082F"/>
    <w:rsid w:val="002C4A52"/>
    <w:rsid w:val="002D5F49"/>
    <w:rsid w:val="002D70A8"/>
    <w:rsid w:val="002D7267"/>
    <w:rsid w:val="00307980"/>
    <w:rsid w:val="0034384C"/>
    <w:rsid w:val="003759E0"/>
    <w:rsid w:val="003B2805"/>
    <w:rsid w:val="003F5D08"/>
    <w:rsid w:val="00427AC9"/>
    <w:rsid w:val="0048760F"/>
    <w:rsid w:val="00492BBF"/>
    <w:rsid w:val="004949E8"/>
    <w:rsid w:val="004B661B"/>
    <w:rsid w:val="004C7101"/>
    <w:rsid w:val="004C7B8D"/>
    <w:rsid w:val="004D01E3"/>
    <w:rsid w:val="004F681D"/>
    <w:rsid w:val="00524B56"/>
    <w:rsid w:val="005304C0"/>
    <w:rsid w:val="005636D1"/>
    <w:rsid w:val="0057599C"/>
    <w:rsid w:val="005C6C68"/>
    <w:rsid w:val="005D12BB"/>
    <w:rsid w:val="005D1C22"/>
    <w:rsid w:val="005D245E"/>
    <w:rsid w:val="005D3008"/>
    <w:rsid w:val="005E195C"/>
    <w:rsid w:val="0060388C"/>
    <w:rsid w:val="00614AEB"/>
    <w:rsid w:val="00664239"/>
    <w:rsid w:val="00666489"/>
    <w:rsid w:val="00673054"/>
    <w:rsid w:val="006B138C"/>
    <w:rsid w:val="006D40EB"/>
    <w:rsid w:val="00723421"/>
    <w:rsid w:val="0076398F"/>
    <w:rsid w:val="00764811"/>
    <w:rsid w:val="00794D0B"/>
    <w:rsid w:val="007A3170"/>
    <w:rsid w:val="007B0927"/>
    <w:rsid w:val="008207E3"/>
    <w:rsid w:val="00837909"/>
    <w:rsid w:val="00837BE6"/>
    <w:rsid w:val="0085064A"/>
    <w:rsid w:val="0086127B"/>
    <w:rsid w:val="008C4DE3"/>
    <w:rsid w:val="008F5521"/>
    <w:rsid w:val="008F6DC4"/>
    <w:rsid w:val="0090570B"/>
    <w:rsid w:val="00950233"/>
    <w:rsid w:val="00984453"/>
    <w:rsid w:val="009C6BFF"/>
    <w:rsid w:val="00A153F0"/>
    <w:rsid w:val="00A21903"/>
    <w:rsid w:val="00A8605E"/>
    <w:rsid w:val="00AA4B85"/>
    <w:rsid w:val="00AB69D4"/>
    <w:rsid w:val="00AE30B6"/>
    <w:rsid w:val="00AE4851"/>
    <w:rsid w:val="00B20FEA"/>
    <w:rsid w:val="00B42C7C"/>
    <w:rsid w:val="00B6383C"/>
    <w:rsid w:val="00B80760"/>
    <w:rsid w:val="00BA4F83"/>
    <w:rsid w:val="00BB0CDF"/>
    <w:rsid w:val="00BF2A71"/>
    <w:rsid w:val="00BF2B98"/>
    <w:rsid w:val="00BF60D6"/>
    <w:rsid w:val="00C1762E"/>
    <w:rsid w:val="00C47C26"/>
    <w:rsid w:val="00C94412"/>
    <w:rsid w:val="00CB114A"/>
    <w:rsid w:val="00CC373B"/>
    <w:rsid w:val="00CE375C"/>
    <w:rsid w:val="00CF2401"/>
    <w:rsid w:val="00D05FD2"/>
    <w:rsid w:val="00D82E7E"/>
    <w:rsid w:val="00D9404E"/>
    <w:rsid w:val="00DE5051"/>
    <w:rsid w:val="00E230A2"/>
    <w:rsid w:val="00E254DF"/>
    <w:rsid w:val="00E262E2"/>
    <w:rsid w:val="00E747FC"/>
    <w:rsid w:val="00E977C1"/>
    <w:rsid w:val="00EB45E5"/>
    <w:rsid w:val="00EC4E96"/>
    <w:rsid w:val="00F064F0"/>
    <w:rsid w:val="00F075D2"/>
    <w:rsid w:val="00F07C6B"/>
    <w:rsid w:val="00F1142E"/>
    <w:rsid w:val="00F96B59"/>
    <w:rsid w:val="00FD7FDF"/>
    <w:rsid w:val="00FF427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6121E"/>
  <w15:docId w15:val="{17A94221-CB1C-064A-9AEF-E8ABC4E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6DC4"/>
    <w:rPr>
      <w:rFonts w:ascii="Times" w:hAnsi="Times"/>
      <w:sz w:val="22"/>
    </w:rPr>
  </w:style>
  <w:style w:type="paragraph" w:styleId="berschrift1">
    <w:name w:val="heading 1"/>
    <w:basedOn w:val="Standard"/>
    <w:next w:val="Standard"/>
    <w:link w:val="berschrift1Zchn"/>
    <w:uiPriority w:val="9"/>
    <w:qFormat/>
    <w:rsid w:val="00C1762E"/>
    <w:pPr>
      <w:keepNext/>
      <w:keepLines/>
      <w:spacing w:before="240"/>
      <w:ind w:left="-567" w:right="-434"/>
      <w:jc w:val="both"/>
      <w:outlineLvl w:val="0"/>
    </w:pPr>
    <w:rPr>
      <w:rFonts w:eastAsiaTheme="majorEastAsia" w:cstheme="majorBidi"/>
      <w:b/>
      <w:bCs/>
    </w:rPr>
  </w:style>
  <w:style w:type="paragraph" w:styleId="berschrift2">
    <w:name w:val="heading 2"/>
    <w:basedOn w:val="Standard"/>
    <w:link w:val="berschrift2Zchn"/>
    <w:uiPriority w:val="9"/>
    <w:qFormat/>
    <w:rsid w:val="004F681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85064A"/>
    <w:pPr>
      <w:keepNext/>
      <w:keepLines/>
      <w:spacing w:before="200"/>
      <w:ind w:left="-56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127B"/>
    <w:pPr>
      <w:pBdr>
        <w:bottom w:val="single" w:sz="8" w:space="4" w:color="4F81BD" w:themeColor="accent1"/>
      </w:pBdr>
      <w:spacing w:after="300"/>
      <w:ind w:left="-567" w:right="-434"/>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86127B"/>
    <w:rPr>
      <w:rFonts w:ascii="Times" w:eastAsiaTheme="majorEastAsia" w:hAnsi="Times" w:cstheme="majorBidi"/>
      <w:spacing w:val="5"/>
      <w:kern w:val="28"/>
      <w:sz w:val="44"/>
      <w:szCs w:val="52"/>
    </w:rPr>
  </w:style>
  <w:style w:type="character" w:customStyle="1" w:styleId="berschrift2Zchn">
    <w:name w:val="Überschrift 2 Zchn"/>
    <w:basedOn w:val="Absatz-Standardschriftart"/>
    <w:link w:val="berschrift2"/>
    <w:uiPriority w:val="9"/>
    <w:rsid w:val="004F681D"/>
    <w:rPr>
      <w:rFonts w:ascii="Times" w:hAnsi="Times"/>
      <w:b/>
      <w:bCs/>
      <w:sz w:val="36"/>
      <w:szCs w:val="36"/>
    </w:rPr>
  </w:style>
  <w:style w:type="paragraph" w:customStyle="1" w:styleId="bde-stx-wrapper">
    <w:name w:val="bde-stx-wrapper"/>
    <w:basedOn w:val="Standard"/>
    <w:rsid w:val="004F681D"/>
    <w:pPr>
      <w:spacing w:before="100" w:beforeAutospacing="1" w:after="100" w:afterAutospacing="1"/>
    </w:pPr>
    <w:rPr>
      <w:sz w:val="20"/>
      <w:szCs w:val="20"/>
    </w:rPr>
  </w:style>
  <w:style w:type="character" w:styleId="Fett">
    <w:name w:val="Strong"/>
    <w:basedOn w:val="Absatz-Standardschriftart"/>
    <w:uiPriority w:val="22"/>
    <w:qFormat/>
    <w:rsid w:val="004F681D"/>
    <w:rPr>
      <w:b/>
      <w:bCs/>
    </w:rPr>
  </w:style>
  <w:style w:type="character" w:styleId="Hyperlink">
    <w:name w:val="Hyperlink"/>
    <w:basedOn w:val="Absatz-Standardschriftart"/>
    <w:uiPriority w:val="99"/>
    <w:unhideWhenUsed/>
    <w:rsid w:val="004F681D"/>
    <w:rPr>
      <w:color w:val="0000FF"/>
      <w:u w:val="single"/>
    </w:rPr>
  </w:style>
  <w:style w:type="character" w:customStyle="1" w:styleId="berschrift1Zchn">
    <w:name w:val="Überschrift 1 Zchn"/>
    <w:basedOn w:val="Absatz-Standardschriftart"/>
    <w:link w:val="berschrift1"/>
    <w:uiPriority w:val="9"/>
    <w:rsid w:val="00C1762E"/>
    <w:rPr>
      <w:rFonts w:ascii="Times" w:eastAsiaTheme="majorEastAsia" w:hAnsi="Times" w:cstheme="majorBidi"/>
      <w:b/>
      <w:bCs/>
      <w:sz w:val="22"/>
    </w:rPr>
  </w:style>
  <w:style w:type="paragraph" w:styleId="Listenabsatz">
    <w:name w:val="List Paragraph"/>
    <w:basedOn w:val="Standard"/>
    <w:uiPriority w:val="34"/>
    <w:qFormat/>
    <w:rsid w:val="004C7B8D"/>
    <w:pPr>
      <w:ind w:left="720"/>
      <w:contextualSpacing/>
    </w:pPr>
  </w:style>
  <w:style w:type="character" w:customStyle="1" w:styleId="berschrift3Zchn">
    <w:name w:val="Überschrift 3 Zchn"/>
    <w:basedOn w:val="Absatz-Standardschriftart"/>
    <w:link w:val="berschrift3"/>
    <w:uiPriority w:val="9"/>
    <w:rsid w:val="0085064A"/>
    <w:rPr>
      <w:rFonts w:ascii="Times" w:eastAsiaTheme="majorEastAsia" w:hAnsi="Times" w:cstheme="majorBidi"/>
      <w:b/>
      <w:bCs/>
      <w:sz w:val="22"/>
    </w:rPr>
  </w:style>
  <w:style w:type="paragraph" w:styleId="StandardWeb">
    <w:name w:val="Normal (Web)"/>
    <w:basedOn w:val="Standard"/>
    <w:uiPriority w:val="99"/>
    <w:semiHidden/>
    <w:unhideWhenUsed/>
    <w:rsid w:val="004B661B"/>
    <w:pPr>
      <w:spacing w:before="100" w:beforeAutospacing="1" w:after="100" w:afterAutospacing="1"/>
    </w:pPr>
    <w:rPr>
      <w:rFonts w:cs="Times New Roman"/>
      <w:sz w:val="20"/>
      <w:szCs w:val="20"/>
    </w:rPr>
  </w:style>
  <w:style w:type="paragraph" w:styleId="Kopfzeile">
    <w:name w:val="header"/>
    <w:basedOn w:val="Standard"/>
    <w:link w:val="KopfzeileZchn"/>
    <w:uiPriority w:val="99"/>
    <w:semiHidden/>
    <w:unhideWhenUsed/>
    <w:rsid w:val="0026677B"/>
    <w:pPr>
      <w:tabs>
        <w:tab w:val="center" w:pos="4536"/>
        <w:tab w:val="right" w:pos="9072"/>
      </w:tabs>
    </w:pPr>
  </w:style>
  <w:style w:type="character" w:customStyle="1" w:styleId="KopfzeileZchn">
    <w:name w:val="Kopfzeile Zchn"/>
    <w:basedOn w:val="Absatz-Standardschriftart"/>
    <w:link w:val="Kopfzeile"/>
    <w:uiPriority w:val="99"/>
    <w:semiHidden/>
    <w:rsid w:val="0026677B"/>
    <w:rPr>
      <w:rFonts w:ascii="Times" w:hAnsi="Times"/>
      <w:sz w:val="22"/>
    </w:rPr>
  </w:style>
  <w:style w:type="paragraph" w:styleId="Fuzeile">
    <w:name w:val="footer"/>
    <w:basedOn w:val="Standard"/>
    <w:link w:val="FuzeileZchn"/>
    <w:uiPriority w:val="99"/>
    <w:unhideWhenUsed/>
    <w:rsid w:val="0026677B"/>
    <w:pPr>
      <w:tabs>
        <w:tab w:val="center" w:pos="4536"/>
        <w:tab w:val="right" w:pos="9072"/>
      </w:tabs>
    </w:pPr>
  </w:style>
  <w:style w:type="character" w:customStyle="1" w:styleId="FuzeileZchn">
    <w:name w:val="Fußzeile Zchn"/>
    <w:basedOn w:val="Absatz-Standardschriftart"/>
    <w:link w:val="Fuzeile"/>
    <w:uiPriority w:val="99"/>
    <w:rsid w:val="0026677B"/>
    <w:rPr>
      <w:rFonts w:ascii="Times" w:hAnsi="Times"/>
      <w:sz w:val="22"/>
    </w:rPr>
  </w:style>
  <w:style w:type="character" w:styleId="BesuchterLink">
    <w:name w:val="FollowedHyperlink"/>
    <w:basedOn w:val="Absatz-Standardschriftart"/>
    <w:uiPriority w:val="99"/>
    <w:semiHidden/>
    <w:unhideWhenUsed/>
    <w:rsid w:val="00D82E7E"/>
    <w:rPr>
      <w:color w:val="800080" w:themeColor="followedHyperlink"/>
      <w:u w:val="single"/>
    </w:rPr>
  </w:style>
  <w:style w:type="table" w:styleId="Tabellenraster">
    <w:name w:val="Table Grid"/>
    <w:basedOn w:val="NormaleTabelle"/>
    <w:uiPriority w:val="59"/>
    <w:rsid w:val="003F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F5D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Raster3-Akzent1">
    <w:name w:val="Medium Grid 3 Accent 1"/>
    <w:basedOn w:val="NormaleTabelle"/>
    <w:uiPriority w:val="69"/>
    <w:rsid w:val="003F5D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chattierung-Akzent4">
    <w:name w:val="Light Shading Accent 4"/>
    <w:basedOn w:val="NormaleTabelle"/>
    <w:uiPriority w:val="60"/>
    <w:rsid w:val="003F5D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FarbigeListe-Akzent3">
    <w:name w:val="Colorful List Accent 3"/>
    <w:basedOn w:val="NormaleTabelle"/>
    <w:uiPriority w:val="72"/>
    <w:rsid w:val="003F5D0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ittlereListe2-Akzent5">
    <w:name w:val="Medium List 2 Accent 5"/>
    <w:basedOn w:val="NormaleTabelle"/>
    <w:uiPriority w:val="66"/>
    <w:rsid w:val="003F5D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4">
    <w:name w:val="Medium List 1 Accent 4"/>
    <w:basedOn w:val="NormaleTabelle"/>
    <w:uiPriority w:val="65"/>
    <w:rsid w:val="003F5D0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Schattierung1-Akzent3">
    <w:name w:val="Medium Shading 1 Accent 3"/>
    <w:basedOn w:val="NormaleTabelle"/>
    <w:uiPriority w:val="63"/>
    <w:rsid w:val="003F5D0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HelleListe-Akzent3">
    <w:name w:val="Light List Accent 3"/>
    <w:basedOn w:val="NormaleTabelle"/>
    <w:uiPriority w:val="61"/>
    <w:rsid w:val="003F5D0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chattierung-Akzent3">
    <w:name w:val="Light Shading Accent 3"/>
    <w:basedOn w:val="NormaleTabelle"/>
    <w:uiPriority w:val="60"/>
    <w:rsid w:val="003F5D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Liste-Akzent6">
    <w:name w:val="Light List Accent 6"/>
    <w:basedOn w:val="NormaleTabelle"/>
    <w:uiPriority w:val="61"/>
    <w:rsid w:val="003F5D0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Akzent6">
    <w:name w:val="Light Grid Accent 6"/>
    <w:basedOn w:val="NormaleTabelle"/>
    <w:uiPriority w:val="62"/>
    <w:rsid w:val="003F5D0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sRaster-Akzent1">
    <w:name w:val="Light Grid Accent 1"/>
    <w:basedOn w:val="NormaleTabelle"/>
    <w:uiPriority w:val="62"/>
    <w:rsid w:val="003F5D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2">
    <w:name w:val="Light List Accent 2"/>
    <w:basedOn w:val="NormaleTabelle"/>
    <w:uiPriority w:val="61"/>
    <w:rsid w:val="003F5D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EC4E96"/>
    <w:pPr>
      <w:autoSpaceDE w:val="0"/>
      <w:autoSpaceDN w:val="0"/>
      <w:adjustRightInd w:val="0"/>
    </w:pPr>
    <w:rPr>
      <w:rFonts w:ascii="Arial" w:hAnsi="Arial" w:cs="Arial"/>
      <w:color w:val="000000"/>
    </w:rPr>
  </w:style>
  <w:style w:type="character" w:styleId="NichtaufgelsteErwhnung">
    <w:name w:val="Unresolved Mention"/>
    <w:basedOn w:val="Absatz-Standardschriftart"/>
    <w:uiPriority w:val="99"/>
    <w:semiHidden/>
    <w:unhideWhenUsed/>
    <w:rsid w:val="00F1142E"/>
    <w:rPr>
      <w:color w:val="808080"/>
      <w:shd w:val="clear" w:color="auto" w:fill="E6E6E6"/>
    </w:rPr>
  </w:style>
  <w:style w:type="paragraph" w:customStyle="1" w:styleId="bodytext">
    <w:name w:val="bodytext"/>
    <w:basedOn w:val="Standard"/>
    <w:rsid w:val="0076398F"/>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230">
      <w:bodyDiv w:val="1"/>
      <w:marLeft w:val="0"/>
      <w:marRight w:val="0"/>
      <w:marTop w:val="0"/>
      <w:marBottom w:val="0"/>
      <w:divBdr>
        <w:top w:val="none" w:sz="0" w:space="0" w:color="auto"/>
        <w:left w:val="none" w:sz="0" w:space="0" w:color="auto"/>
        <w:bottom w:val="none" w:sz="0" w:space="0" w:color="auto"/>
        <w:right w:val="none" w:sz="0" w:space="0" w:color="auto"/>
      </w:divBdr>
    </w:div>
    <w:div w:id="69039497">
      <w:bodyDiv w:val="1"/>
      <w:marLeft w:val="0"/>
      <w:marRight w:val="0"/>
      <w:marTop w:val="0"/>
      <w:marBottom w:val="0"/>
      <w:divBdr>
        <w:top w:val="none" w:sz="0" w:space="0" w:color="auto"/>
        <w:left w:val="none" w:sz="0" w:space="0" w:color="auto"/>
        <w:bottom w:val="none" w:sz="0" w:space="0" w:color="auto"/>
        <w:right w:val="none" w:sz="0" w:space="0" w:color="auto"/>
      </w:divBdr>
    </w:div>
    <w:div w:id="100806048">
      <w:bodyDiv w:val="1"/>
      <w:marLeft w:val="0"/>
      <w:marRight w:val="0"/>
      <w:marTop w:val="0"/>
      <w:marBottom w:val="0"/>
      <w:divBdr>
        <w:top w:val="none" w:sz="0" w:space="0" w:color="auto"/>
        <w:left w:val="none" w:sz="0" w:space="0" w:color="auto"/>
        <w:bottom w:val="none" w:sz="0" w:space="0" w:color="auto"/>
        <w:right w:val="none" w:sz="0" w:space="0" w:color="auto"/>
      </w:divBdr>
    </w:div>
    <w:div w:id="119149969">
      <w:bodyDiv w:val="1"/>
      <w:marLeft w:val="0"/>
      <w:marRight w:val="0"/>
      <w:marTop w:val="0"/>
      <w:marBottom w:val="0"/>
      <w:divBdr>
        <w:top w:val="none" w:sz="0" w:space="0" w:color="auto"/>
        <w:left w:val="none" w:sz="0" w:space="0" w:color="auto"/>
        <w:bottom w:val="none" w:sz="0" w:space="0" w:color="auto"/>
        <w:right w:val="none" w:sz="0" w:space="0" w:color="auto"/>
      </w:divBdr>
    </w:div>
    <w:div w:id="173080702">
      <w:bodyDiv w:val="1"/>
      <w:marLeft w:val="0"/>
      <w:marRight w:val="0"/>
      <w:marTop w:val="0"/>
      <w:marBottom w:val="0"/>
      <w:divBdr>
        <w:top w:val="none" w:sz="0" w:space="0" w:color="auto"/>
        <w:left w:val="none" w:sz="0" w:space="0" w:color="auto"/>
        <w:bottom w:val="none" w:sz="0" w:space="0" w:color="auto"/>
        <w:right w:val="none" w:sz="0" w:space="0" w:color="auto"/>
      </w:divBdr>
    </w:div>
    <w:div w:id="303586430">
      <w:bodyDiv w:val="1"/>
      <w:marLeft w:val="0"/>
      <w:marRight w:val="0"/>
      <w:marTop w:val="0"/>
      <w:marBottom w:val="0"/>
      <w:divBdr>
        <w:top w:val="none" w:sz="0" w:space="0" w:color="auto"/>
        <w:left w:val="none" w:sz="0" w:space="0" w:color="auto"/>
        <w:bottom w:val="none" w:sz="0" w:space="0" w:color="auto"/>
        <w:right w:val="none" w:sz="0" w:space="0" w:color="auto"/>
      </w:divBdr>
    </w:div>
    <w:div w:id="314796159">
      <w:bodyDiv w:val="1"/>
      <w:marLeft w:val="0"/>
      <w:marRight w:val="0"/>
      <w:marTop w:val="0"/>
      <w:marBottom w:val="0"/>
      <w:divBdr>
        <w:top w:val="none" w:sz="0" w:space="0" w:color="auto"/>
        <w:left w:val="none" w:sz="0" w:space="0" w:color="auto"/>
        <w:bottom w:val="none" w:sz="0" w:space="0" w:color="auto"/>
        <w:right w:val="none" w:sz="0" w:space="0" w:color="auto"/>
      </w:divBdr>
    </w:div>
    <w:div w:id="357393473">
      <w:bodyDiv w:val="1"/>
      <w:marLeft w:val="0"/>
      <w:marRight w:val="0"/>
      <w:marTop w:val="0"/>
      <w:marBottom w:val="0"/>
      <w:divBdr>
        <w:top w:val="none" w:sz="0" w:space="0" w:color="auto"/>
        <w:left w:val="none" w:sz="0" w:space="0" w:color="auto"/>
        <w:bottom w:val="none" w:sz="0" w:space="0" w:color="auto"/>
        <w:right w:val="none" w:sz="0" w:space="0" w:color="auto"/>
      </w:divBdr>
    </w:div>
    <w:div w:id="416024381">
      <w:bodyDiv w:val="1"/>
      <w:marLeft w:val="0"/>
      <w:marRight w:val="0"/>
      <w:marTop w:val="0"/>
      <w:marBottom w:val="0"/>
      <w:divBdr>
        <w:top w:val="none" w:sz="0" w:space="0" w:color="auto"/>
        <w:left w:val="none" w:sz="0" w:space="0" w:color="auto"/>
        <w:bottom w:val="none" w:sz="0" w:space="0" w:color="auto"/>
        <w:right w:val="none" w:sz="0" w:space="0" w:color="auto"/>
      </w:divBdr>
    </w:div>
    <w:div w:id="549849301">
      <w:bodyDiv w:val="1"/>
      <w:marLeft w:val="0"/>
      <w:marRight w:val="0"/>
      <w:marTop w:val="0"/>
      <w:marBottom w:val="0"/>
      <w:divBdr>
        <w:top w:val="none" w:sz="0" w:space="0" w:color="auto"/>
        <w:left w:val="none" w:sz="0" w:space="0" w:color="auto"/>
        <w:bottom w:val="none" w:sz="0" w:space="0" w:color="auto"/>
        <w:right w:val="none" w:sz="0" w:space="0" w:color="auto"/>
      </w:divBdr>
    </w:div>
    <w:div w:id="618413683">
      <w:bodyDiv w:val="1"/>
      <w:marLeft w:val="0"/>
      <w:marRight w:val="0"/>
      <w:marTop w:val="0"/>
      <w:marBottom w:val="0"/>
      <w:divBdr>
        <w:top w:val="none" w:sz="0" w:space="0" w:color="auto"/>
        <w:left w:val="none" w:sz="0" w:space="0" w:color="auto"/>
        <w:bottom w:val="none" w:sz="0" w:space="0" w:color="auto"/>
        <w:right w:val="none" w:sz="0" w:space="0" w:color="auto"/>
      </w:divBdr>
    </w:div>
    <w:div w:id="700324426">
      <w:bodyDiv w:val="1"/>
      <w:marLeft w:val="0"/>
      <w:marRight w:val="0"/>
      <w:marTop w:val="0"/>
      <w:marBottom w:val="0"/>
      <w:divBdr>
        <w:top w:val="none" w:sz="0" w:space="0" w:color="auto"/>
        <w:left w:val="none" w:sz="0" w:space="0" w:color="auto"/>
        <w:bottom w:val="none" w:sz="0" w:space="0" w:color="auto"/>
        <w:right w:val="none" w:sz="0" w:space="0" w:color="auto"/>
      </w:divBdr>
    </w:div>
    <w:div w:id="733745710">
      <w:bodyDiv w:val="1"/>
      <w:marLeft w:val="0"/>
      <w:marRight w:val="0"/>
      <w:marTop w:val="0"/>
      <w:marBottom w:val="0"/>
      <w:divBdr>
        <w:top w:val="none" w:sz="0" w:space="0" w:color="auto"/>
        <w:left w:val="none" w:sz="0" w:space="0" w:color="auto"/>
        <w:bottom w:val="none" w:sz="0" w:space="0" w:color="auto"/>
        <w:right w:val="none" w:sz="0" w:space="0" w:color="auto"/>
      </w:divBdr>
    </w:div>
    <w:div w:id="811293674">
      <w:bodyDiv w:val="1"/>
      <w:marLeft w:val="0"/>
      <w:marRight w:val="0"/>
      <w:marTop w:val="0"/>
      <w:marBottom w:val="0"/>
      <w:divBdr>
        <w:top w:val="none" w:sz="0" w:space="0" w:color="auto"/>
        <w:left w:val="none" w:sz="0" w:space="0" w:color="auto"/>
        <w:bottom w:val="none" w:sz="0" w:space="0" w:color="auto"/>
        <w:right w:val="none" w:sz="0" w:space="0" w:color="auto"/>
      </w:divBdr>
    </w:div>
    <w:div w:id="846362626">
      <w:bodyDiv w:val="1"/>
      <w:marLeft w:val="0"/>
      <w:marRight w:val="0"/>
      <w:marTop w:val="0"/>
      <w:marBottom w:val="0"/>
      <w:divBdr>
        <w:top w:val="none" w:sz="0" w:space="0" w:color="auto"/>
        <w:left w:val="none" w:sz="0" w:space="0" w:color="auto"/>
        <w:bottom w:val="none" w:sz="0" w:space="0" w:color="auto"/>
        <w:right w:val="none" w:sz="0" w:space="0" w:color="auto"/>
      </w:divBdr>
      <w:divsChild>
        <w:div w:id="1116947702">
          <w:marLeft w:val="0"/>
          <w:marRight w:val="0"/>
          <w:marTop w:val="0"/>
          <w:marBottom w:val="0"/>
          <w:divBdr>
            <w:top w:val="none" w:sz="0" w:space="0" w:color="auto"/>
            <w:left w:val="none" w:sz="0" w:space="0" w:color="auto"/>
            <w:bottom w:val="none" w:sz="0" w:space="0" w:color="auto"/>
            <w:right w:val="none" w:sz="0" w:space="0" w:color="auto"/>
          </w:divBdr>
        </w:div>
      </w:divsChild>
    </w:div>
    <w:div w:id="872621193">
      <w:bodyDiv w:val="1"/>
      <w:marLeft w:val="0"/>
      <w:marRight w:val="0"/>
      <w:marTop w:val="0"/>
      <w:marBottom w:val="0"/>
      <w:divBdr>
        <w:top w:val="none" w:sz="0" w:space="0" w:color="auto"/>
        <w:left w:val="none" w:sz="0" w:space="0" w:color="auto"/>
        <w:bottom w:val="none" w:sz="0" w:space="0" w:color="auto"/>
        <w:right w:val="none" w:sz="0" w:space="0" w:color="auto"/>
      </w:divBdr>
    </w:div>
    <w:div w:id="885870488">
      <w:bodyDiv w:val="1"/>
      <w:marLeft w:val="0"/>
      <w:marRight w:val="0"/>
      <w:marTop w:val="0"/>
      <w:marBottom w:val="0"/>
      <w:divBdr>
        <w:top w:val="none" w:sz="0" w:space="0" w:color="auto"/>
        <w:left w:val="none" w:sz="0" w:space="0" w:color="auto"/>
        <w:bottom w:val="none" w:sz="0" w:space="0" w:color="auto"/>
        <w:right w:val="none" w:sz="0" w:space="0" w:color="auto"/>
      </w:divBdr>
    </w:div>
    <w:div w:id="910045976">
      <w:bodyDiv w:val="1"/>
      <w:marLeft w:val="0"/>
      <w:marRight w:val="0"/>
      <w:marTop w:val="0"/>
      <w:marBottom w:val="0"/>
      <w:divBdr>
        <w:top w:val="none" w:sz="0" w:space="0" w:color="auto"/>
        <w:left w:val="none" w:sz="0" w:space="0" w:color="auto"/>
        <w:bottom w:val="none" w:sz="0" w:space="0" w:color="auto"/>
        <w:right w:val="none" w:sz="0" w:space="0" w:color="auto"/>
      </w:divBdr>
    </w:div>
    <w:div w:id="939488590">
      <w:bodyDiv w:val="1"/>
      <w:marLeft w:val="0"/>
      <w:marRight w:val="0"/>
      <w:marTop w:val="0"/>
      <w:marBottom w:val="0"/>
      <w:divBdr>
        <w:top w:val="none" w:sz="0" w:space="0" w:color="auto"/>
        <w:left w:val="none" w:sz="0" w:space="0" w:color="auto"/>
        <w:bottom w:val="none" w:sz="0" w:space="0" w:color="auto"/>
        <w:right w:val="none" w:sz="0" w:space="0" w:color="auto"/>
      </w:divBdr>
    </w:div>
    <w:div w:id="953055959">
      <w:bodyDiv w:val="1"/>
      <w:marLeft w:val="0"/>
      <w:marRight w:val="0"/>
      <w:marTop w:val="0"/>
      <w:marBottom w:val="0"/>
      <w:divBdr>
        <w:top w:val="none" w:sz="0" w:space="0" w:color="auto"/>
        <w:left w:val="none" w:sz="0" w:space="0" w:color="auto"/>
        <w:bottom w:val="none" w:sz="0" w:space="0" w:color="auto"/>
        <w:right w:val="none" w:sz="0" w:space="0" w:color="auto"/>
      </w:divBdr>
    </w:div>
    <w:div w:id="967735810">
      <w:bodyDiv w:val="1"/>
      <w:marLeft w:val="0"/>
      <w:marRight w:val="0"/>
      <w:marTop w:val="0"/>
      <w:marBottom w:val="0"/>
      <w:divBdr>
        <w:top w:val="none" w:sz="0" w:space="0" w:color="auto"/>
        <w:left w:val="none" w:sz="0" w:space="0" w:color="auto"/>
        <w:bottom w:val="none" w:sz="0" w:space="0" w:color="auto"/>
        <w:right w:val="none" w:sz="0" w:space="0" w:color="auto"/>
      </w:divBdr>
    </w:div>
    <w:div w:id="1347443296">
      <w:bodyDiv w:val="1"/>
      <w:marLeft w:val="0"/>
      <w:marRight w:val="0"/>
      <w:marTop w:val="0"/>
      <w:marBottom w:val="0"/>
      <w:divBdr>
        <w:top w:val="none" w:sz="0" w:space="0" w:color="auto"/>
        <w:left w:val="none" w:sz="0" w:space="0" w:color="auto"/>
        <w:bottom w:val="none" w:sz="0" w:space="0" w:color="auto"/>
        <w:right w:val="none" w:sz="0" w:space="0" w:color="auto"/>
      </w:divBdr>
    </w:div>
    <w:div w:id="1380930929">
      <w:bodyDiv w:val="1"/>
      <w:marLeft w:val="0"/>
      <w:marRight w:val="0"/>
      <w:marTop w:val="0"/>
      <w:marBottom w:val="0"/>
      <w:divBdr>
        <w:top w:val="none" w:sz="0" w:space="0" w:color="auto"/>
        <w:left w:val="none" w:sz="0" w:space="0" w:color="auto"/>
        <w:bottom w:val="none" w:sz="0" w:space="0" w:color="auto"/>
        <w:right w:val="none" w:sz="0" w:space="0" w:color="auto"/>
      </w:divBdr>
    </w:div>
    <w:div w:id="1417361921">
      <w:bodyDiv w:val="1"/>
      <w:marLeft w:val="0"/>
      <w:marRight w:val="0"/>
      <w:marTop w:val="0"/>
      <w:marBottom w:val="0"/>
      <w:divBdr>
        <w:top w:val="none" w:sz="0" w:space="0" w:color="auto"/>
        <w:left w:val="none" w:sz="0" w:space="0" w:color="auto"/>
        <w:bottom w:val="none" w:sz="0" w:space="0" w:color="auto"/>
        <w:right w:val="none" w:sz="0" w:space="0" w:color="auto"/>
      </w:divBdr>
    </w:div>
    <w:div w:id="1491601186">
      <w:bodyDiv w:val="1"/>
      <w:marLeft w:val="0"/>
      <w:marRight w:val="0"/>
      <w:marTop w:val="0"/>
      <w:marBottom w:val="0"/>
      <w:divBdr>
        <w:top w:val="none" w:sz="0" w:space="0" w:color="auto"/>
        <w:left w:val="none" w:sz="0" w:space="0" w:color="auto"/>
        <w:bottom w:val="none" w:sz="0" w:space="0" w:color="auto"/>
        <w:right w:val="none" w:sz="0" w:space="0" w:color="auto"/>
      </w:divBdr>
      <w:divsChild>
        <w:div w:id="1313371924">
          <w:marLeft w:val="0"/>
          <w:marRight w:val="0"/>
          <w:marTop w:val="0"/>
          <w:marBottom w:val="0"/>
          <w:divBdr>
            <w:top w:val="none" w:sz="0" w:space="0" w:color="auto"/>
            <w:left w:val="none" w:sz="0" w:space="0" w:color="auto"/>
            <w:bottom w:val="none" w:sz="0" w:space="0" w:color="auto"/>
            <w:right w:val="none" w:sz="0" w:space="0" w:color="auto"/>
          </w:divBdr>
          <w:divsChild>
            <w:div w:id="597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379">
      <w:bodyDiv w:val="1"/>
      <w:marLeft w:val="0"/>
      <w:marRight w:val="0"/>
      <w:marTop w:val="0"/>
      <w:marBottom w:val="0"/>
      <w:divBdr>
        <w:top w:val="none" w:sz="0" w:space="0" w:color="auto"/>
        <w:left w:val="none" w:sz="0" w:space="0" w:color="auto"/>
        <w:bottom w:val="none" w:sz="0" w:space="0" w:color="auto"/>
        <w:right w:val="none" w:sz="0" w:space="0" w:color="auto"/>
      </w:divBdr>
    </w:div>
    <w:div w:id="1516337098">
      <w:bodyDiv w:val="1"/>
      <w:marLeft w:val="0"/>
      <w:marRight w:val="0"/>
      <w:marTop w:val="0"/>
      <w:marBottom w:val="0"/>
      <w:divBdr>
        <w:top w:val="none" w:sz="0" w:space="0" w:color="auto"/>
        <w:left w:val="none" w:sz="0" w:space="0" w:color="auto"/>
        <w:bottom w:val="none" w:sz="0" w:space="0" w:color="auto"/>
        <w:right w:val="none" w:sz="0" w:space="0" w:color="auto"/>
      </w:divBdr>
    </w:div>
    <w:div w:id="1599366479">
      <w:bodyDiv w:val="1"/>
      <w:marLeft w:val="0"/>
      <w:marRight w:val="0"/>
      <w:marTop w:val="0"/>
      <w:marBottom w:val="0"/>
      <w:divBdr>
        <w:top w:val="none" w:sz="0" w:space="0" w:color="auto"/>
        <w:left w:val="none" w:sz="0" w:space="0" w:color="auto"/>
        <w:bottom w:val="none" w:sz="0" w:space="0" w:color="auto"/>
        <w:right w:val="none" w:sz="0" w:space="0" w:color="auto"/>
      </w:divBdr>
    </w:div>
    <w:div w:id="1669792673">
      <w:bodyDiv w:val="1"/>
      <w:marLeft w:val="0"/>
      <w:marRight w:val="0"/>
      <w:marTop w:val="0"/>
      <w:marBottom w:val="0"/>
      <w:divBdr>
        <w:top w:val="none" w:sz="0" w:space="0" w:color="auto"/>
        <w:left w:val="none" w:sz="0" w:space="0" w:color="auto"/>
        <w:bottom w:val="none" w:sz="0" w:space="0" w:color="auto"/>
        <w:right w:val="none" w:sz="0" w:space="0" w:color="auto"/>
      </w:divBdr>
    </w:div>
    <w:div w:id="1698968387">
      <w:bodyDiv w:val="1"/>
      <w:marLeft w:val="0"/>
      <w:marRight w:val="0"/>
      <w:marTop w:val="0"/>
      <w:marBottom w:val="0"/>
      <w:divBdr>
        <w:top w:val="none" w:sz="0" w:space="0" w:color="auto"/>
        <w:left w:val="none" w:sz="0" w:space="0" w:color="auto"/>
        <w:bottom w:val="none" w:sz="0" w:space="0" w:color="auto"/>
        <w:right w:val="none" w:sz="0" w:space="0" w:color="auto"/>
      </w:divBdr>
    </w:div>
    <w:div w:id="1704938270">
      <w:bodyDiv w:val="1"/>
      <w:marLeft w:val="0"/>
      <w:marRight w:val="0"/>
      <w:marTop w:val="0"/>
      <w:marBottom w:val="0"/>
      <w:divBdr>
        <w:top w:val="none" w:sz="0" w:space="0" w:color="auto"/>
        <w:left w:val="none" w:sz="0" w:space="0" w:color="auto"/>
        <w:bottom w:val="none" w:sz="0" w:space="0" w:color="auto"/>
        <w:right w:val="none" w:sz="0" w:space="0" w:color="auto"/>
      </w:divBdr>
    </w:div>
    <w:div w:id="1720744310">
      <w:bodyDiv w:val="1"/>
      <w:marLeft w:val="0"/>
      <w:marRight w:val="0"/>
      <w:marTop w:val="0"/>
      <w:marBottom w:val="0"/>
      <w:divBdr>
        <w:top w:val="none" w:sz="0" w:space="0" w:color="auto"/>
        <w:left w:val="none" w:sz="0" w:space="0" w:color="auto"/>
        <w:bottom w:val="none" w:sz="0" w:space="0" w:color="auto"/>
        <w:right w:val="none" w:sz="0" w:space="0" w:color="auto"/>
      </w:divBdr>
    </w:div>
    <w:div w:id="1741637203">
      <w:bodyDiv w:val="1"/>
      <w:marLeft w:val="0"/>
      <w:marRight w:val="0"/>
      <w:marTop w:val="0"/>
      <w:marBottom w:val="0"/>
      <w:divBdr>
        <w:top w:val="none" w:sz="0" w:space="0" w:color="auto"/>
        <w:left w:val="none" w:sz="0" w:space="0" w:color="auto"/>
        <w:bottom w:val="none" w:sz="0" w:space="0" w:color="auto"/>
        <w:right w:val="none" w:sz="0" w:space="0" w:color="auto"/>
      </w:divBdr>
    </w:div>
    <w:div w:id="1781954226">
      <w:bodyDiv w:val="1"/>
      <w:marLeft w:val="0"/>
      <w:marRight w:val="0"/>
      <w:marTop w:val="0"/>
      <w:marBottom w:val="0"/>
      <w:divBdr>
        <w:top w:val="none" w:sz="0" w:space="0" w:color="auto"/>
        <w:left w:val="none" w:sz="0" w:space="0" w:color="auto"/>
        <w:bottom w:val="none" w:sz="0" w:space="0" w:color="auto"/>
        <w:right w:val="none" w:sz="0" w:space="0" w:color="auto"/>
      </w:divBdr>
    </w:div>
    <w:div w:id="2011784778">
      <w:bodyDiv w:val="1"/>
      <w:marLeft w:val="0"/>
      <w:marRight w:val="0"/>
      <w:marTop w:val="0"/>
      <w:marBottom w:val="0"/>
      <w:divBdr>
        <w:top w:val="none" w:sz="0" w:space="0" w:color="auto"/>
        <w:left w:val="none" w:sz="0" w:space="0" w:color="auto"/>
        <w:bottom w:val="none" w:sz="0" w:space="0" w:color="auto"/>
        <w:right w:val="none" w:sz="0" w:space="0" w:color="auto"/>
      </w:divBdr>
    </w:div>
    <w:div w:id="213184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rgenland.at/fileadmin/user_upload/Richtlinie_WP_PV_final_nach_Sitzu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fileadmin/user_upload/Richtlinie_WP_PV_final_nach_Sitzu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bgld.gv.at/web/formulare.nsf/fachbereich.xsp?fachbereich=BW" TargetMode="External"/><Relationship Id="rId5" Type="http://schemas.openxmlformats.org/officeDocument/2006/relationships/webSettings" Target="webSettings.xml"/><Relationship Id="rId15" Type="http://schemas.openxmlformats.org/officeDocument/2006/relationships/hyperlink" Target="mailto:post.a3-energie@bgld.gv.at?subject=Energieberatung" TargetMode="External"/><Relationship Id="rId10" Type="http://schemas.openxmlformats.org/officeDocument/2006/relationships/hyperlink" Target="https://www.burgenland.at/themen/energie/foerderungen/alternativenergieanlagen/voraussetzungen-fuer-foerderu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s.bgld.gv.at/web/formulare.nsf/xsp/.ibmmodres/domino/OpenAttachment/web/formulare.nsf/0DB0CC24643AF21DC1257FE3001C511F/fldPdf/Richtlinie%20Alternativenergie%20_J%C3%A4nner%202019_EH.pdf?Op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DCC6-FEF5-2741-9BCE-CFB836A0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10892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öbmv</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Wallner</dc:creator>
  <cp:keywords/>
  <dc:description/>
  <cp:lastModifiedBy>Chris Rosenberger</cp:lastModifiedBy>
  <cp:revision>6</cp:revision>
  <dcterms:created xsi:type="dcterms:W3CDTF">2019-02-18T14:27:00Z</dcterms:created>
  <dcterms:modified xsi:type="dcterms:W3CDTF">2020-03-19T08:54:00Z</dcterms:modified>
</cp:coreProperties>
</file>