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7D13" w14:textId="77777777" w:rsidR="00F2601F" w:rsidRDefault="00414139" w:rsidP="0029766C">
      <w:pPr>
        <w:ind w:left="-567"/>
        <w:rPr>
          <w:sz w:val="44"/>
        </w:rPr>
      </w:pPr>
      <w:r w:rsidRPr="00414139">
        <w:rPr>
          <w:noProof/>
          <w:sz w:val="44"/>
        </w:rPr>
        <w:drawing>
          <wp:anchor distT="0" distB="0" distL="114300" distR="114300" simplePos="0" relativeHeight="251661312" behindDoc="0" locked="0" layoutInCell="1" allowOverlap="1" wp14:anchorId="003769A7" wp14:editId="68DCD759">
            <wp:simplePos x="0" y="0"/>
            <wp:positionH relativeFrom="column">
              <wp:posOffset>-913531</wp:posOffset>
            </wp:positionH>
            <wp:positionV relativeFrom="paragraph">
              <wp:posOffset>-910055</wp:posOffset>
            </wp:positionV>
            <wp:extent cx="7559307" cy="2059806"/>
            <wp:effectExtent l="25400" t="0" r="0" b="0"/>
            <wp:wrapNone/>
            <wp:docPr id="1" name="Bild 1" descr="ÖBMV A4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BMV A4_Layou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271" cy="2068507"/>
                    </a:xfrm>
                    <a:prstGeom prst="rect">
                      <a:avLst/>
                    </a:prstGeom>
                    <a:noFill/>
                    <a:ln>
                      <a:noFill/>
                    </a:ln>
                  </pic:spPr>
                </pic:pic>
              </a:graphicData>
            </a:graphic>
          </wp:anchor>
        </w:drawing>
      </w:r>
    </w:p>
    <w:p w14:paraId="40010663" w14:textId="77777777" w:rsidR="00F2601F" w:rsidRDefault="00F2601F" w:rsidP="0029766C">
      <w:pPr>
        <w:ind w:left="-567"/>
        <w:rPr>
          <w:sz w:val="44"/>
        </w:rPr>
      </w:pPr>
    </w:p>
    <w:p w14:paraId="025EDE8F" w14:textId="77777777" w:rsidR="00F2601F" w:rsidRDefault="00F2601F" w:rsidP="0029766C">
      <w:pPr>
        <w:ind w:left="-567"/>
        <w:rPr>
          <w:sz w:val="44"/>
        </w:rPr>
      </w:pPr>
    </w:p>
    <w:p w14:paraId="0C8CB838" w14:textId="77777777" w:rsidR="00F2601F" w:rsidRDefault="00F2601F" w:rsidP="0029766C">
      <w:pPr>
        <w:ind w:left="-567"/>
        <w:rPr>
          <w:sz w:val="44"/>
        </w:rPr>
      </w:pPr>
    </w:p>
    <w:p w14:paraId="0D83EC87" w14:textId="3E32B11D" w:rsidR="003D0CB8" w:rsidRDefault="00B75ABA" w:rsidP="00223489">
      <w:pPr>
        <w:ind w:right="-434"/>
        <w:jc w:val="right"/>
      </w:pPr>
      <w:r>
        <w:t>Februar 2020</w:t>
      </w:r>
    </w:p>
    <w:p w14:paraId="1915B9A6" w14:textId="12A14D21" w:rsidR="001843C9" w:rsidRPr="0029766C" w:rsidRDefault="004F681D" w:rsidP="0029766C">
      <w:pPr>
        <w:ind w:left="-567"/>
        <w:rPr>
          <w:sz w:val="44"/>
        </w:rPr>
      </w:pPr>
      <w:r w:rsidRPr="0029766C">
        <w:rPr>
          <w:sz w:val="44"/>
        </w:rPr>
        <w:t>Landesförderung Holzheizsy</w:t>
      </w:r>
      <w:r w:rsidR="002D5F49" w:rsidRPr="0029766C">
        <w:rPr>
          <w:sz w:val="44"/>
        </w:rPr>
        <w:t>s</w:t>
      </w:r>
      <w:r w:rsidR="00723421" w:rsidRPr="0029766C">
        <w:rPr>
          <w:sz w:val="44"/>
        </w:rPr>
        <w:t>teme</w:t>
      </w:r>
      <w:r w:rsidR="00762DD7">
        <w:rPr>
          <w:sz w:val="44"/>
        </w:rPr>
        <w:t xml:space="preserve"> + S</w:t>
      </w:r>
      <w:r w:rsidR="006351EC">
        <w:rPr>
          <w:sz w:val="44"/>
        </w:rPr>
        <w:t>onne</w:t>
      </w:r>
      <w:r w:rsidR="00723421" w:rsidRPr="0029766C">
        <w:rPr>
          <w:sz w:val="44"/>
        </w:rPr>
        <w:t xml:space="preserve"> </w:t>
      </w:r>
      <w:r w:rsidR="00C00845" w:rsidRPr="0029766C">
        <w:rPr>
          <w:sz w:val="44"/>
        </w:rPr>
        <w:t>Kärnten</w:t>
      </w:r>
    </w:p>
    <w:p w14:paraId="717FCBE3" w14:textId="77777777" w:rsidR="00871819" w:rsidRDefault="003D0CB8" w:rsidP="003D0CB8">
      <w:r>
        <w:rPr>
          <w:noProof/>
        </w:rPr>
        <w:drawing>
          <wp:anchor distT="0" distB="0" distL="114300" distR="114300" simplePos="0" relativeHeight="251659264" behindDoc="0" locked="0" layoutInCell="1" allowOverlap="1" wp14:anchorId="7B3E6D90" wp14:editId="24FE1BAF">
            <wp:simplePos x="0" y="0"/>
            <wp:positionH relativeFrom="column">
              <wp:posOffset>-461144</wp:posOffset>
            </wp:positionH>
            <wp:positionV relativeFrom="paragraph">
              <wp:posOffset>53975</wp:posOffset>
            </wp:positionV>
            <wp:extent cx="6635282" cy="125128"/>
            <wp:effectExtent l="25400" t="0" r="0" b="0"/>
            <wp:wrapNone/>
            <wp:docPr id="4" name="Bild 0" descr="Linie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gruen.jpg"/>
                    <pic:cNvPicPr/>
                  </pic:nvPicPr>
                  <pic:blipFill>
                    <a:blip r:embed="rId9"/>
                    <a:stretch>
                      <a:fillRect/>
                    </a:stretch>
                  </pic:blipFill>
                  <pic:spPr>
                    <a:xfrm>
                      <a:off x="0" y="0"/>
                      <a:ext cx="6635282" cy="125128"/>
                    </a:xfrm>
                    <a:prstGeom prst="rect">
                      <a:avLst/>
                    </a:prstGeom>
                  </pic:spPr>
                </pic:pic>
              </a:graphicData>
            </a:graphic>
          </wp:anchor>
        </w:drawing>
      </w:r>
    </w:p>
    <w:p w14:paraId="1B62C562" w14:textId="77777777" w:rsidR="00DF78ED" w:rsidRDefault="00DF78ED" w:rsidP="006876E9">
      <w:pPr>
        <w:ind w:left="284" w:right="-434" w:hanging="284"/>
        <w:jc w:val="both"/>
        <w:rPr>
          <w:b/>
          <w:bCs/>
        </w:rPr>
      </w:pPr>
    </w:p>
    <w:p w14:paraId="214EF6AD" w14:textId="0CD6B288" w:rsidR="00341576" w:rsidRPr="00A301D8" w:rsidRDefault="00A301D8" w:rsidP="00A5279F">
      <w:pPr>
        <w:ind w:right="-434"/>
        <w:jc w:val="both"/>
        <w:rPr>
          <w:b/>
          <w:bCs/>
        </w:rPr>
      </w:pPr>
      <w:r w:rsidRPr="00A301D8">
        <w:rPr>
          <w:b/>
          <w:bCs/>
        </w:rPr>
        <w:t>Sanierung von Eigenheimen, sonstigen Gebäuden und Wohnhäusern</w:t>
      </w:r>
      <w:r w:rsidR="00A5279F">
        <w:rPr>
          <w:b/>
          <w:bCs/>
        </w:rPr>
        <w:t xml:space="preserve"> im mehrgeschossigen Wohnbau</w:t>
      </w:r>
    </w:p>
    <w:p w14:paraId="68FD353F" w14:textId="69ED384A" w:rsidR="00A301D8" w:rsidRDefault="00A301D8" w:rsidP="006876E9">
      <w:pPr>
        <w:ind w:left="284" w:right="-434" w:hanging="284"/>
        <w:jc w:val="both"/>
        <w:rPr>
          <w:b/>
          <w:bCs/>
        </w:rPr>
      </w:pPr>
    </w:p>
    <w:p w14:paraId="6BF2C181" w14:textId="18F8C224" w:rsidR="00A175B8" w:rsidRPr="004D2C0D" w:rsidRDefault="00A301D8" w:rsidP="006876E9">
      <w:pPr>
        <w:ind w:left="284" w:right="-434" w:hanging="284"/>
        <w:jc w:val="both"/>
        <w:rPr>
          <w:b/>
          <w:bCs/>
          <w:szCs w:val="22"/>
        </w:rPr>
      </w:pPr>
      <w:r w:rsidRPr="004D2C0D">
        <w:rPr>
          <w:b/>
          <w:bCs/>
          <w:szCs w:val="22"/>
        </w:rPr>
        <w:t>Gültigkeit</w:t>
      </w:r>
    </w:p>
    <w:p w14:paraId="3EC9A9D6" w14:textId="690AD3B1" w:rsidR="00A301D8" w:rsidRPr="004D2C0D" w:rsidRDefault="00A301D8" w:rsidP="006876E9">
      <w:pPr>
        <w:ind w:left="284" w:right="-434" w:hanging="284"/>
        <w:jc w:val="both"/>
        <w:rPr>
          <w:bCs/>
          <w:szCs w:val="22"/>
        </w:rPr>
      </w:pPr>
      <w:r w:rsidRPr="004872B0">
        <w:rPr>
          <w:bCs/>
          <w:szCs w:val="22"/>
        </w:rPr>
        <w:t>01.01.20</w:t>
      </w:r>
      <w:r w:rsidR="004872B0" w:rsidRPr="004872B0">
        <w:rPr>
          <w:bCs/>
          <w:szCs w:val="22"/>
        </w:rPr>
        <w:t>20</w:t>
      </w:r>
      <w:r w:rsidRPr="004872B0">
        <w:rPr>
          <w:bCs/>
          <w:szCs w:val="22"/>
        </w:rPr>
        <w:t xml:space="preserve"> bis 31.12.20</w:t>
      </w:r>
      <w:r w:rsidR="004872B0" w:rsidRPr="004872B0">
        <w:rPr>
          <w:bCs/>
          <w:szCs w:val="22"/>
        </w:rPr>
        <w:t>20</w:t>
      </w:r>
    </w:p>
    <w:p w14:paraId="556C684D" w14:textId="3AEA2538" w:rsidR="00A301D8" w:rsidRPr="004D2C0D" w:rsidRDefault="00A301D8" w:rsidP="006876E9">
      <w:pPr>
        <w:ind w:left="284" w:right="-434" w:hanging="284"/>
        <w:jc w:val="both"/>
        <w:rPr>
          <w:bCs/>
          <w:szCs w:val="22"/>
        </w:rPr>
      </w:pPr>
    </w:p>
    <w:p w14:paraId="5B6B40C2" w14:textId="1A3C9E9F" w:rsidR="00A175B8" w:rsidRPr="004D2C0D" w:rsidRDefault="00A301D8" w:rsidP="00A301D8">
      <w:pPr>
        <w:ind w:left="284" w:right="-434" w:hanging="284"/>
        <w:jc w:val="both"/>
        <w:rPr>
          <w:b/>
          <w:bCs/>
          <w:szCs w:val="22"/>
        </w:rPr>
      </w:pPr>
      <w:r w:rsidRPr="004D2C0D">
        <w:rPr>
          <w:b/>
          <w:bCs/>
          <w:szCs w:val="22"/>
        </w:rPr>
        <w:t>Wer wird gefördert</w:t>
      </w:r>
    </w:p>
    <w:p w14:paraId="643841F7" w14:textId="77777777" w:rsidR="00A301D8" w:rsidRPr="004D2C0D" w:rsidRDefault="00A301D8" w:rsidP="00A301D8">
      <w:pPr>
        <w:pStyle w:val="Listenabsatz"/>
        <w:numPr>
          <w:ilvl w:val="0"/>
          <w:numId w:val="28"/>
        </w:numPr>
        <w:autoSpaceDE w:val="0"/>
        <w:autoSpaceDN w:val="0"/>
        <w:adjustRightInd w:val="0"/>
        <w:rPr>
          <w:rFonts w:cs="Arial"/>
          <w:color w:val="000000"/>
          <w:szCs w:val="22"/>
        </w:rPr>
      </w:pPr>
      <w:r w:rsidRPr="004D2C0D">
        <w:rPr>
          <w:rFonts w:cs="Arial"/>
          <w:color w:val="000000"/>
          <w:szCs w:val="22"/>
        </w:rPr>
        <w:t xml:space="preserve">(Mit)Eigentümer des Gebäudes </w:t>
      </w:r>
    </w:p>
    <w:p w14:paraId="5D47843C" w14:textId="11D20835" w:rsidR="00A301D8" w:rsidRPr="004D2C0D" w:rsidRDefault="00A301D8" w:rsidP="00A301D8">
      <w:pPr>
        <w:pStyle w:val="Listenabsatz"/>
        <w:numPr>
          <w:ilvl w:val="0"/>
          <w:numId w:val="28"/>
        </w:numPr>
        <w:autoSpaceDE w:val="0"/>
        <w:autoSpaceDN w:val="0"/>
        <w:adjustRightInd w:val="0"/>
        <w:rPr>
          <w:rFonts w:cs="Arial"/>
          <w:color w:val="000000"/>
          <w:szCs w:val="22"/>
        </w:rPr>
      </w:pPr>
      <w:r w:rsidRPr="004D2C0D">
        <w:rPr>
          <w:rFonts w:cs="Arial"/>
          <w:color w:val="000000"/>
          <w:szCs w:val="22"/>
        </w:rPr>
        <w:t xml:space="preserve">Wohnungsinhaber – Mieter, Wohnungseigentümer oder (Mit)Eigentümer, der eine in seinem Haus gelegene Wohnung selbst benützt </w:t>
      </w:r>
    </w:p>
    <w:p w14:paraId="1BA8D408" w14:textId="2A248375" w:rsidR="00A301D8" w:rsidRPr="004D2C0D" w:rsidRDefault="00A301D8" w:rsidP="00A301D8">
      <w:pPr>
        <w:pStyle w:val="Listenabsatz"/>
        <w:numPr>
          <w:ilvl w:val="0"/>
          <w:numId w:val="28"/>
        </w:numPr>
        <w:autoSpaceDE w:val="0"/>
        <w:autoSpaceDN w:val="0"/>
        <w:adjustRightInd w:val="0"/>
        <w:rPr>
          <w:rFonts w:cs="Arial"/>
          <w:color w:val="000000"/>
          <w:szCs w:val="22"/>
        </w:rPr>
      </w:pPr>
      <w:r w:rsidRPr="004D2C0D">
        <w:rPr>
          <w:rFonts w:cs="Arial"/>
          <w:color w:val="000000"/>
          <w:szCs w:val="22"/>
        </w:rPr>
        <w:t xml:space="preserve">Bauberechtigter </w:t>
      </w:r>
    </w:p>
    <w:p w14:paraId="43A2A79D" w14:textId="19BD2F6F" w:rsidR="00A301D8" w:rsidRPr="004D2C0D" w:rsidRDefault="00A301D8" w:rsidP="00A301D8">
      <w:pPr>
        <w:pStyle w:val="Listenabsatz"/>
        <w:numPr>
          <w:ilvl w:val="0"/>
          <w:numId w:val="28"/>
        </w:numPr>
        <w:ind w:right="-434"/>
        <w:jc w:val="both"/>
        <w:rPr>
          <w:rFonts w:eastAsia="Times New Roman" w:cs="Times New Roman"/>
          <w:bCs/>
          <w:szCs w:val="22"/>
        </w:rPr>
      </w:pPr>
      <w:r w:rsidRPr="004D2C0D">
        <w:rPr>
          <w:rFonts w:cs="Arial"/>
          <w:color w:val="000000"/>
          <w:szCs w:val="22"/>
        </w:rPr>
        <w:t>Bestellter Verwalter nach § 6 Abs. 2 MRG oder § 14c Abs. 2 WGG</w:t>
      </w:r>
    </w:p>
    <w:p w14:paraId="7F1DBED7" w14:textId="0EC41D95" w:rsidR="00A301D8" w:rsidRPr="004D2C0D" w:rsidRDefault="00A301D8" w:rsidP="006876E9">
      <w:pPr>
        <w:ind w:left="284" w:right="-434" w:hanging="284"/>
        <w:jc w:val="both"/>
        <w:rPr>
          <w:bCs/>
          <w:szCs w:val="22"/>
        </w:rPr>
      </w:pPr>
    </w:p>
    <w:p w14:paraId="58655E5F" w14:textId="229DEE70" w:rsidR="00A175B8" w:rsidRPr="004D2C0D" w:rsidRDefault="00A301D8" w:rsidP="00A301D8">
      <w:pPr>
        <w:ind w:left="284" w:right="-434" w:hanging="284"/>
        <w:jc w:val="both"/>
        <w:rPr>
          <w:b/>
          <w:bCs/>
          <w:szCs w:val="22"/>
        </w:rPr>
      </w:pPr>
      <w:r w:rsidRPr="004D2C0D">
        <w:rPr>
          <w:b/>
          <w:bCs/>
          <w:szCs w:val="22"/>
        </w:rPr>
        <w:t>Was wird gefördert</w:t>
      </w:r>
    </w:p>
    <w:p w14:paraId="36FD6887" w14:textId="77777777" w:rsidR="00A301D8" w:rsidRPr="00A301D8" w:rsidRDefault="00A301D8" w:rsidP="00A301D8">
      <w:pPr>
        <w:autoSpaceDE w:val="0"/>
        <w:autoSpaceDN w:val="0"/>
        <w:adjustRightInd w:val="0"/>
        <w:rPr>
          <w:rFonts w:cs="Arial"/>
          <w:color w:val="000000"/>
          <w:szCs w:val="22"/>
        </w:rPr>
      </w:pPr>
      <w:r w:rsidRPr="00A301D8">
        <w:rPr>
          <w:rFonts w:cs="Arial"/>
          <w:color w:val="000000"/>
          <w:szCs w:val="22"/>
        </w:rPr>
        <w:t xml:space="preserve">Gefördert wird die Sanierung von </w:t>
      </w:r>
    </w:p>
    <w:p w14:paraId="329FD730" w14:textId="308FB3CA" w:rsidR="00A301D8" w:rsidRPr="004D2C0D" w:rsidRDefault="00A301D8" w:rsidP="00A301D8">
      <w:pPr>
        <w:pStyle w:val="Listenabsatz"/>
        <w:numPr>
          <w:ilvl w:val="0"/>
          <w:numId w:val="28"/>
        </w:numPr>
        <w:autoSpaceDE w:val="0"/>
        <w:autoSpaceDN w:val="0"/>
        <w:adjustRightInd w:val="0"/>
        <w:rPr>
          <w:rFonts w:cs="Arial"/>
          <w:color w:val="000000"/>
          <w:szCs w:val="22"/>
        </w:rPr>
      </w:pPr>
      <w:r w:rsidRPr="004D2C0D">
        <w:rPr>
          <w:rFonts w:cs="Arial"/>
          <w:color w:val="000000"/>
          <w:szCs w:val="22"/>
        </w:rPr>
        <w:t xml:space="preserve">Eigenheimen mit höchstens zwei Wohnungen, </w:t>
      </w:r>
    </w:p>
    <w:p w14:paraId="390F259A" w14:textId="3DD32826" w:rsidR="00A301D8" w:rsidRPr="004D2C0D" w:rsidRDefault="00A301D8" w:rsidP="00A301D8">
      <w:pPr>
        <w:pStyle w:val="Listenabsatz"/>
        <w:numPr>
          <w:ilvl w:val="0"/>
          <w:numId w:val="28"/>
        </w:numPr>
        <w:autoSpaceDE w:val="0"/>
        <w:autoSpaceDN w:val="0"/>
        <w:adjustRightInd w:val="0"/>
        <w:rPr>
          <w:rFonts w:cs="Arial"/>
          <w:color w:val="000000"/>
          <w:szCs w:val="22"/>
        </w:rPr>
      </w:pPr>
      <w:r w:rsidRPr="004D2C0D">
        <w:rPr>
          <w:rFonts w:cs="Arial"/>
          <w:color w:val="000000"/>
          <w:szCs w:val="22"/>
        </w:rPr>
        <w:t xml:space="preserve">sonstigen Gebäuden, die nicht zu Wohnzwecken dienen und nach Abschluss der Sanierungsmaßnahmen zur ganzjährigen Wohnnutzung geeigneten Wohnraum aufweisen, </w:t>
      </w:r>
    </w:p>
    <w:p w14:paraId="1359ACE7" w14:textId="1DB76CED" w:rsidR="00A301D8" w:rsidRPr="004D2C0D" w:rsidRDefault="00A301D8" w:rsidP="00A301D8">
      <w:pPr>
        <w:pStyle w:val="Listenabsatz"/>
        <w:numPr>
          <w:ilvl w:val="0"/>
          <w:numId w:val="28"/>
        </w:numPr>
        <w:ind w:right="-434"/>
        <w:jc w:val="both"/>
        <w:rPr>
          <w:rFonts w:eastAsia="Times New Roman" w:cs="Times New Roman"/>
          <w:b/>
          <w:bCs/>
          <w:szCs w:val="22"/>
        </w:rPr>
      </w:pPr>
      <w:r w:rsidRPr="004D2C0D">
        <w:rPr>
          <w:rFonts w:cs="Arial"/>
          <w:color w:val="000000"/>
          <w:szCs w:val="22"/>
        </w:rPr>
        <w:t>Wohnhäusern im mehrgeschossigen Wohnbau und Wohnheimen (außer von solchen, die im (Mit)Eigentum von gemeinnützigen Bauvereinigungen und Gemeinden stehen).</w:t>
      </w:r>
    </w:p>
    <w:p w14:paraId="20DA9452" w14:textId="2F79253F" w:rsidR="00A301D8" w:rsidRPr="004D2C0D" w:rsidRDefault="00A301D8" w:rsidP="00A301D8">
      <w:pPr>
        <w:ind w:right="-434"/>
        <w:jc w:val="both"/>
        <w:rPr>
          <w:b/>
          <w:bCs/>
          <w:szCs w:val="22"/>
        </w:rPr>
      </w:pPr>
    </w:p>
    <w:p w14:paraId="58C02910" w14:textId="1FD10CC4" w:rsidR="00A175B8" w:rsidRPr="004D2C0D" w:rsidRDefault="00A301D8" w:rsidP="00A301D8">
      <w:pPr>
        <w:ind w:right="-434"/>
        <w:jc w:val="both"/>
        <w:rPr>
          <w:b/>
          <w:bCs/>
          <w:szCs w:val="22"/>
        </w:rPr>
      </w:pPr>
      <w:r w:rsidRPr="004D2C0D">
        <w:rPr>
          <w:b/>
          <w:bCs/>
          <w:szCs w:val="22"/>
        </w:rPr>
        <w:t>Allgemeine Förderungssvoraussetzungen</w:t>
      </w:r>
      <w:r w:rsidR="004D2C0D">
        <w:rPr>
          <w:b/>
          <w:bCs/>
          <w:szCs w:val="22"/>
        </w:rPr>
        <w:t xml:space="preserve"> (A</w:t>
      </w:r>
      <w:r w:rsidR="00A5279F">
        <w:rPr>
          <w:b/>
          <w:bCs/>
          <w:szCs w:val="22"/>
        </w:rPr>
        <w:t>USWAHL</w:t>
      </w:r>
      <w:r w:rsidR="004D2C0D">
        <w:rPr>
          <w:b/>
          <w:bCs/>
          <w:szCs w:val="22"/>
        </w:rPr>
        <w:t>)</w:t>
      </w:r>
    </w:p>
    <w:p w14:paraId="75DAF541" w14:textId="50236A02" w:rsidR="00A301D8" w:rsidRPr="004D2C0D" w:rsidRDefault="00A301D8" w:rsidP="00A301D8">
      <w:pPr>
        <w:pStyle w:val="Listenabsatz"/>
        <w:numPr>
          <w:ilvl w:val="0"/>
          <w:numId w:val="31"/>
        </w:numPr>
        <w:autoSpaceDE w:val="0"/>
        <w:autoSpaceDN w:val="0"/>
        <w:adjustRightInd w:val="0"/>
        <w:rPr>
          <w:rFonts w:cs="Arial"/>
          <w:color w:val="000000"/>
          <w:szCs w:val="22"/>
        </w:rPr>
      </w:pPr>
      <w:r w:rsidRPr="004D2C0D">
        <w:rPr>
          <w:rFonts w:cs="Arial"/>
          <w:color w:val="000000"/>
          <w:szCs w:val="22"/>
        </w:rPr>
        <w:t xml:space="preserve">Baubewilligung älter als 20 Jahre, </w:t>
      </w:r>
      <w:r w:rsidRPr="00A5279F">
        <w:rPr>
          <w:rFonts w:cs="Arial"/>
          <w:b/>
          <w:color w:val="000000"/>
          <w:szCs w:val="22"/>
        </w:rPr>
        <w:t xml:space="preserve">außer </w:t>
      </w:r>
      <w:r w:rsidRPr="004D2C0D">
        <w:rPr>
          <w:rFonts w:cs="Arial"/>
          <w:color w:val="000000"/>
          <w:szCs w:val="22"/>
        </w:rPr>
        <w:t xml:space="preserve">es handelt sich um </w:t>
      </w:r>
      <w:r w:rsidRPr="004D2C0D">
        <w:rPr>
          <w:rFonts w:cs="Arial"/>
          <w:b/>
          <w:color w:val="000000"/>
          <w:szCs w:val="22"/>
        </w:rPr>
        <w:t>Maßnahmen zur Nutzung alternativer Energiequellen</w:t>
      </w:r>
      <w:r w:rsidRPr="004D2C0D">
        <w:rPr>
          <w:rFonts w:cs="Arial"/>
          <w:color w:val="000000"/>
          <w:szCs w:val="22"/>
        </w:rPr>
        <w:t xml:space="preserve">, wobei die Bauvollendung vor mindestens fünf Jahren erfolgt sein muss, oder den Anschluss an Fernwärme. </w:t>
      </w:r>
    </w:p>
    <w:p w14:paraId="55E77899" w14:textId="2085C5E5" w:rsidR="00A301D8" w:rsidRPr="004D2C0D" w:rsidRDefault="00A301D8" w:rsidP="00A301D8">
      <w:pPr>
        <w:pStyle w:val="Listenabsatz"/>
        <w:numPr>
          <w:ilvl w:val="0"/>
          <w:numId w:val="31"/>
        </w:numPr>
        <w:ind w:right="-434"/>
        <w:jc w:val="both"/>
        <w:rPr>
          <w:rFonts w:eastAsia="Times New Roman" w:cs="Times New Roman"/>
          <w:b/>
          <w:bCs/>
          <w:szCs w:val="22"/>
        </w:rPr>
      </w:pPr>
      <w:r w:rsidRPr="004D2C0D">
        <w:rPr>
          <w:rFonts w:cs="Arial"/>
          <w:color w:val="000000"/>
          <w:szCs w:val="22"/>
        </w:rPr>
        <w:t>Zum Zeitpunkt der Antragstellung bzw. erstmaligen Antragstellung bei mehreren Förderungsanträgen für dasselbe Objekt innerhalb der förderbaren Obergrenze der Sanierungskosten in einem Zeitraum von 5 Jahren, muss nachgewiesen werden, dass eine Energieberatung vor Ort nach den Richtlinien des Energieberaternetzwerks Kärnten durchgeführt wurde. Das Energieberatungsprotokoll ist vom Energieberater (EBS-Manager-Kärnten) elektronisch zu übermitteln</w:t>
      </w:r>
      <w:r w:rsidR="00A5279F">
        <w:rPr>
          <w:rFonts w:cs="Arial"/>
          <w:color w:val="000000"/>
          <w:szCs w:val="22"/>
        </w:rPr>
        <w:t xml:space="preserve">. </w:t>
      </w:r>
      <w:r w:rsidR="00A5279F" w:rsidRPr="00A5279F">
        <w:rPr>
          <w:rFonts w:cs="Arial"/>
          <w:b/>
          <w:color w:val="000000"/>
          <w:szCs w:val="22"/>
        </w:rPr>
        <w:t>Beratung ist Förderbar</w:t>
      </w:r>
      <w:r w:rsidR="00A5279F">
        <w:rPr>
          <w:rFonts w:cs="Arial"/>
          <w:b/>
          <w:color w:val="000000"/>
          <w:szCs w:val="22"/>
        </w:rPr>
        <w:t>!</w:t>
      </w:r>
    </w:p>
    <w:p w14:paraId="6B839707" w14:textId="231B3A82" w:rsidR="00A301D8" w:rsidRPr="004D2C0D" w:rsidRDefault="00A301D8" w:rsidP="00A301D8">
      <w:pPr>
        <w:pStyle w:val="Listenabsatz"/>
        <w:numPr>
          <w:ilvl w:val="0"/>
          <w:numId w:val="31"/>
        </w:numPr>
        <w:ind w:right="-434"/>
        <w:jc w:val="both"/>
        <w:rPr>
          <w:rFonts w:eastAsia="Times New Roman" w:cs="Times New Roman"/>
          <w:b/>
          <w:bCs/>
          <w:szCs w:val="22"/>
        </w:rPr>
      </w:pPr>
      <w:r w:rsidRPr="004D2C0D">
        <w:rPr>
          <w:rFonts w:cs="Arial"/>
          <w:color w:val="000000"/>
          <w:szCs w:val="22"/>
        </w:rPr>
        <w:t>Hauptwohnsitz außer bei gemeinnützigen juristischen Personen</w:t>
      </w:r>
    </w:p>
    <w:p w14:paraId="66A0426C" w14:textId="01E31473" w:rsidR="00A301D8" w:rsidRPr="004D2C0D" w:rsidRDefault="00A301D8" w:rsidP="00A301D8">
      <w:pPr>
        <w:pStyle w:val="Listenabsatz"/>
        <w:numPr>
          <w:ilvl w:val="0"/>
          <w:numId w:val="31"/>
        </w:numPr>
        <w:ind w:right="-434"/>
        <w:jc w:val="both"/>
        <w:rPr>
          <w:rFonts w:eastAsia="Times New Roman" w:cs="Times New Roman"/>
          <w:b/>
          <w:bCs/>
          <w:szCs w:val="22"/>
        </w:rPr>
      </w:pPr>
      <w:r w:rsidRPr="004D2C0D">
        <w:rPr>
          <w:rFonts w:cs="Arial"/>
          <w:color w:val="000000"/>
          <w:szCs w:val="22"/>
        </w:rPr>
        <w:t>Nutzfläche der Wohnung max. 200 m</w:t>
      </w:r>
      <w:r w:rsidRPr="004D2C0D">
        <w:rPr>
          <w:rFonts w:cs="Arial"/>
          <w:color w:val="000000"/>
          <w:szCs w:val="22"/>
          <w:vertAlign w:val="superscript"/>
        </w:rPr>
        <w:t>2</w:t>
      </w:r>
    </w:p>
    <w:p w14:paraId="7F942EFB" w14:textId="7AA32FA1" w:rsidR="00A301D8" w:rsidRPr="00A5279F" w:rsidRDefault="00A301D8" w:rsidP="00A301D8">
      <w:pPr>
        <w:pStyle w:val="Listenabsatz"/>
        <w:numPr>
          <w:ilvl w:val="0"/>
          <w:numId w:val="31"/>
        </w:numPr>
        <w:ind w:right="-434"/>
        <w:jc w:val="both"/>
        <w:rPr>
          <w:rFonts w:eastAsia="Times New Roman" w:cs="Times New Roman"/>
          <w:b/>
          <w:bCs/>
          <w:szCs w:val="22"/>
        </w:rPr>
      </w:pPr>
      <w:r w:rsidRPr="004D2C0D">
        <w:rPr>
          <w:szCs w:val="22"/>
        </w:rPr>
        <w:t>Mit der Durchführung der Sanierungsmaßnahmen darf ab dem Zeitpunkt der Antragstellung begonnen werden. Arbeiten und Investitionen, die vor Antragstellung getätigt wurden, werden bei der Förderung nicht berücksichtigt (Ausnahme: Planungsarbeiten, wie z</w:t>
      </w:r>
      <w:r w:rsidR="00A5279F">
        <w:rPr>
          <w:szCs w:val="22"/>
        </w:rPr>
        <w:t>.</w:t>
      </w:r>
      <w:r w:rsidRPr="004D2C0D">
        <w:rPr>
          <w:szCs w:val="22"/>
        </w:rPr>
        <w:t>B</w:t>
      </w:r>
      <w:r w:rsidR="00A5279F">
        <w:rPr>
          <w:szCs w:val="22"/>
        </w:rPr>
        <w:t>.</w:t>
      </w:r>
      <w:r w:rsidRPr="004D2C0D">
        <w:rPr>
          <w:szCs w:val="22"/>
        </w:rPr>
        <w:t xml:space="preserve"> Berater, Coach oder Planer).</w:t>
      </w:r>
    </w:p>
    <w:p w14:paraId="540AE98F" w14:textId="1262C922" w:rsidR="00A5279F" w:rsidRDefault="00A5279F" w:rsidP="00A5279F">
      <w:pPr>
        <w:pStyle w:val="Listenabsatz"/>
        <w:numPr>
          <w:ilvl w:val="0"/>
          <w:numId w:val="31"/>
        </w:numPr>
        <w:ind w:right="-434"/>
        <w:jc w:val="both"/>
        <w:rPr>
          <w:szCs w:val="22"/>
        </w:rPr>
      </w:pPr>
      <w:r w:rsidRPr="00A5279F">
        <w:rPr>
          <w:szCs w:val="22"/>
        </w:rPr>
        <w:t>Die Kosten der Sanierungsmaßnahmen (außer bei thermischen Solaranlagen, PV-Anlagen und Solarstromspeicher) haben insgesamt nachweislich mindestens € 2.000,- exklusive USt</w:t>
      </w:r>
      <w:r>
        <w:rPr>
          <w:szCs w:val="22"/>
        </w:rPr>
        <w:t>.</w:t>
      </w:r>
      <w:r w:rsidRPr="00A5279F">
        <w:rPr>
          <w:szCs w:val="22"/>
        </w:rPr>
        <w:t xml:space="preserve"> zu betragen</w:t>
      </w:r>
      <w:r>
        <w:rPr>
          <w:szCs w:val="22"/>
        </w:rPr>
        <w:t>.</w:t>
      </w:r>
    </w:p>
    <w:p w14:paraId="7D91C994" w14:textId="616DBAE0" w:rsidR="001141A1" w:rsidRPr="0032796A" w:rsidRDefault="001141A1" w:rsidP="0032796A">
      <w:pPr>
        <w:pStyle w:val="Listenabsatz"/>
        <w:numPr>
          <w:ilvl w:val="0"/>
          <w:numId w:val="31"/>
        </w:numPr>
        <w:autoSpaceDE w:val="0"/>
        <w:autoSpaceDN w:val="0"/>
        <w:adjustRightInd w:val="0"/>
        <w:rPr>
          <w:color w:val="000000" w:themeColor="text1"/>
          <w:szCs w:val="22"/>
        </w:rPr>
      </w:pPr>
      <w:r w:rsidRPr="0032796A">
        <w:rPr>
          <w:color w:val="000000" w:themeColor="text1"/>
          <w:szCs w:val="22"/>
        </w:rPr>
        <w:lastRenderedPageBreak/>
        <w:t xml:space="preserve">In Gebieten mit Fernwärmeversorgungsanlagen, bei denen ein Anschluss zu ortsüblichen Anschlussgebühren möglich ist, ist eine Förderung für die Errichtung von zentralen Heizungsanlagen mit biogenen Brennstoffen und Wärmepumpenheizungen nicht möglich. Der alte Zentralheizungskessel oder die alten Einzelöfen müssen entfernt werden. </w:t>
      </w:r>
    </w:p>
    <w:p w14:paraId="72CAEAF9" w14:textId="0E09EC57" w:rsidR="001141A1" w:rsidRPr="0032796A" w:rsidRDefault="001141A1" w:rsidP="0032796A">
      <w:pPr>
        <w:pStyle w:val="Listenabsatz"/>
        <w:numPr>
          <w:ilvl w:val="0"/>
          <w:numId w:val="31"/>
        </w:numPr>
        <w:ind w:right="-434"/>
        <w:jc w:val="both"/>
        <w:rPr>
          <w:color w:val="000000" w:themeColor="text1"/>
          <w:szCs w:val="22"/>
        </w:rPr>
      </w:pPr>
      <w:r w:rsidRPr="0032796A">
        <w:rPr>
          <w:color w:val="000000" w:themeColor="text1"/>
          <w:szCs w:val="22"/>
        </w:rPr>
        <w:t>Allesbrenner (Altanlagen) die auch mit fossilen Brennstoffen betrieben wurden, werden als Heizsysteme auf Basis fossiler Brennstoffe anerkannt.</w:t>
      </w:r>
    </w:p>
    <w:p w14:paraId="2DBC7A5B" w14:textId="18E0CCEB" w:rsidR="001141A1" w:rsidRPr="00A5279F" w:rsidRDefault="001141A1" w:rsidP="0032796A">
      <w:pPr>
        <w:pStyle w:val="Listenabsatz"/>
        <w:numPr>
          <w:ilvl w:val="0"/>
          <w:numId w:val="31"/>
        </w:numPr>
        <w:ind w:right="-434"/>
        <w:jc w:val="both"/>
        <w:rPr>
          <w:szCs w:val="22"/>
        </w:rPr>
      </w:pPr>
      <w:r>
        <w:rPr>
          <w:szCs w:val="22"/>
        </w:rPr>
        <w:t xml:space="preserve">…. </w:t>
      </w:r>
    </w:p>
    <w:p w14:paraId="14AF8A63" w14:textId="77777777" w:rsidR="00A301D8" w:rsidRPr="004D2C0D" w:rsidRDefault="00A301D8" w:rsidP="006876E9">
      <w:pPr>
        <w:ind w:left="284" w:right="-434" w:hanging="284"/>
        <w:jc w:val="both"/>
        <w:rPr>
          <w:bCs/>
          <w:szCs w:val="22"/>
        </w:rPr>
      </w:pPr>
    </w:p>
    <w:p w14:paraId="3863ABE0" w14:textId="31E37905" w:rsidR="00A175B8" w:rsidRPr="00341576" w:rsidRDefault="00341576" w:rsidP="00341576">
      <w:pPr>
        <w:autoSpaceDE w:val="0"/>
        <w:autoSpaceDN w:val="0"/>
        <w:adjustRightInd w:val="0"/>
        <w:rPr>
          <w:rFonts w:cs="Arial"/>
          <w:color w:val="000000"/>
          <w:szCs w:val="22"/>
        </w:rPr>
      </w:pPr>
      <w:r w:rsidRPr="00341576">
        <w:rPr>
          <w:rFonts w:cs="Arial"/>
          <w:b/>
          <w:bCs/>
          <w:color w:val="000000"/>
          <w:szCs w:val="22"/>
        </w:rPr>
        <w:t xml:space="preserve">Eigenheime und sonstige Gebäude mit höchstens 2 Wohnungen </w:t>
      </w:r>
    </w:p>
    <w:p w14:paraId="488E1FD4" w14:textId="77777777" w:rsidR="00341576" w:rsidRPr="00341576" w:rsidRDefault="00341576" w:rsidP="00341576">
      <w:pPr>
        <w:autoSpaceDE w:val="0"/>
        <w:autoSpaceDN w:val="0"/>
        <w:adjustRightInd w:val="0"/>
        <w:rPr>
          <w:rFonts w:cs="Arial"/>
          <w:color w:val="000000"/>
          <w:szCs w:val="22"/>
        </w:rPr>
      </w:pPr>
      <w:r w:rsidRPr="00341576">
        <w:rPr>
          <w:rFonts w:cs="Arial"/>
          <w:color w:val="000000"/>
          <w:szCs w:val="22"/>
        </w:rPr>
        <w:t xml:space="preserve">(1) Die Sanierungsförderung erfolgt wahlweise in Form eines </w:t>
      </w:r>
      <w:r w:rsidRPr="00341576">
        <w:rPr>
          <w:rFonts w:cs="Arial"/>
          <w:b/>
          <w:color w:val="000000"/>
          <w:szCs w:val="22"/>
        </w:rPr>
        <w:t>Einmalzuschusses oder</w:t>
      </w:r>
      <w:r w:rsidRPr="00341576">
        <w:rPr>
          <w:rFonts w:cs="Arial"/>
          <w:color w:val="000000"/>
          <w:szCs w:val="22"/>
        </w:rPr>
        <w:t xml:space="preserve"> alternativ in Form eines</w:t>
      </w:r>
      <w:r w:rsidRPr="00341576">
        <w:rPr>
          <w:rFonts w:cs="Arial"/>
          <w:b/>
          <w:color w:val="000000"/>
          <w:szCs w:val="22"/>
        </w:rPr>
        <w:t xml:space="preserve"> Förderungskredites </w:t>
      </w:r>
      <w:r w:rsidRPr="00341576">
        <w:rPr>
          <w:rFonts w:cs="Arial"/>
          <w:color w:val="000000"/>
          <w:szCs w:val="22"/>
        </w:rPr>
        <w:t xml:space="preserve">wie folgt: </w:t>
      </w:r>
    </w:p>
    <w:p w14:paraId="0F67E5FB" w14:textId="77777777" w:rsidR="00341576" w:rsidRPr="00341576" w:rsidRDefault="00341576" w:rsidP="00341576">
      <w:pPr>
        <w:autoSpaceDE w:val="0"/>
        <w:autoSpaceDN w:val="0"/>
        <w:adjustRightInd w:val="0"/>
        <w:rPr>
          <w:rFonts w:cs="Arial"/>
          <w:color w:val="000000"/>
          <w:szCs w:val="22"/>
        </w:rPr>
      </w:pPr>
      <w:r w:rsidRPr="00341576">
        <w:rPr>
          <w:rFonts w:cs="Arial"/>
          <w:color w:val="000000"/>
          <w:szCs w:val="22"/>
        </w:rPr>
        <w:t xml:space="preserve">Einmalzuschuss im Ausmaß von a. </w:t>
      </w:r>
    </w:p>
    <w:p w14:paraId="1AA950D0" w14:textId="5D0689C3" w:rsidR="00341576" w:rsidRPr="00A5279F" w:rsidRDefault="00341576" w:rsidP="00A73D70">
      <w:pPr>
        <w:pStyle w:val="Listenabsatz"/>
        <w:numPr>
          <w:ilvl w:val="0"/>
          <w:numId w:val="26"/>
        </w:numPr>
        <w:autoSpaceDE w:val="0"/>
        <w:autoSpaceDN w:val="0"/>
        <w:adjustRightInd w:val="0"/>
        <w:ind w:left="851" w:hanging="284"/>
        <w:rPr>
          <w:rFonts w:cs="Arial"/>
          <w:b/>
          <w:color w:val="000000"/>
          <w:szCs w:val="22"/>
        </w:rPr>
      </w:pPr>
      <w:r w:rsidRPr="004D2C0D">
        <w:rPr>
          <w:rFonts w:cs="Arial"/>
          <w:color w:val="000000"/>
          <w:szCs w:val="22"/>
        </w:rPr>
        <w:t xml:space="preserve">max. </w:t>
      </w:r>
      <w:r w:rsidRPr="00EF4159">
        <w:rPr>
          <w:rFonts w:cs="Arial"/>
          <w:b/>
          <w:color w:val="000000"/>
          <w:szCs w:val="22"/>
        </w:rPr>
        <w:t>3</w:t>
      </w:r>
      <w:r w:rsidR="0032796A">
        <w:rPr>
          <w:rFonts w:cs="Arial"/>
          <w:b/>
          <w:color w:val="000000"/>
          <w:szCs w:val="22"/>
        </w:rPr>
        <w:t>0</w:t>
      </w:r>
      <w:r w:rsidRPr="00EF4159">
        <w:rPr>
          <w:rFonts w:cs="Arial"/>
          <w:b/>
          <w:color w:val="000000"/>
          <w:szCs w:val="22"/>
        </w:rPr>
        <w:t>%</w:t>
      </w:r>
      <w:r w:rsidRPr="004D2C0D">
        <w:rPr>
          <w:rFonts w:cs="Arial"/>
          <w:color w:val="000000"/>
          <w:szCs w:val="22"/>
        </w:rPr>
        <w:t xml:space="preserve"> </w:t>
      </w:r>
      <w:r w:rsidR="007206E0">
        <w:rPr>
          <w:rFonts w:cs="Arial"/>
          <w:color w:val="000000"/>
          <w:szCs w:val="22"/>
        </w:rPr>
        <w:t xml:space="preserve">(max. 35% bei Austausch fossiler Heizung) </w:t>
      </w:r>
      <w:r w:rsidRPr="004D2C0D">
        <w:rPr>
          <w:rFonts w:cs="Arial"/>
          <w:color w:val="000000"/>
          <w:szCs w:val="22"/>
        </w:rPr>
        <w:t xml:space="preserve">der förderbaren Sanierungskosten von höchstens </w:t>
      </w:r>
      <w:r w:rsidRPr="00EF4159">
        <w:rPr>
          <w:rFonts w:cs="Arial"/>
          <w:b/>
          <w:color w:val="000000"/>
          <w:szCs w:val="22"/>
        </w:rPr>
        <w:t>€ 36.000</w:t>
      </w:r>
      <w:r w:rsidRPr="004D2C0D">
        <w:rPr>
          <w:rFonts w:cs="Arial"/>
          <w:color w:val="000000"/>
          <w:szCs w:val="22"/>
        </w:rPr>
        <w:t xml:space="preserve"> je Gebäude für Einzelbauteilmaßnahmen zur Erhöhung des Wärmeschutzes und </w:t>
      </w:r>
      <w:r w:rsidR="00A5279F" w:rsidRPr="00A5279F">
        <w:rPr>
          <w:rFonts w:cs="Arial"/>
          <w:b/>
          <w:color w:val="000000"/>
          <w:szCs w:val="22"/>
        </w:rPr>
        <w:t xml:space="preserve">max. 35 % </w:t>
      </w:r>
      <w:r w:rsidRPr="00A5279F">
        <w:rPr>
          <w:rFonts w:cs="Arial"/>
          <w:b/>
          <w:color w:val="000000"/>
          <w:szCs w:val="22"/>
        </w:rPr>
        <w:t xml:space="preserve">energieeffiziente Haustechnikanlagen </w:t>
      </w:r>
    </w:p>
    <w:p w14:paraId="163740C2" w14:textId="1F76325C" w:rsidR="00341576" w:rsidRDefault="00341576" w:rsidP="00341576">
      <w:pPr>
        <w:pStyle w:val="Listenabsatz"/>
        <w:numPr>
          <w:ilvl w:val="0"/>
          <w:numId w:val="27"/>
        </w:numPr>
        <w:autoSpaceDE w:val="0"/>
        <w:autoSpaceDN w:val="0"/>
        <w:adjustRightInd w:val="0"/>
        <w:ind w:left="851"/>
        <w:rPr>
          <w:rFonts w:cs="Arial"/>
          <w:color w:val="000000"/>
          <w:szCs w:val="22"/>
        </w:rPr>
      </w:pPr>
      <w:r w:rsidRPr="004D2C0D">
        <w:rPr>
          <w:rFonts w:cs="Arial"/>
          <w:color w:val="000000"/>
          <w:szCs w:val="22"/>
        </w:rPr>
        <w:t xml:space="preserve">max. 40% der förderbaren Sanierungskosten von höchstens </w:t>
      </w:r>
      <w:r w:rsidRPr="00341576">
        <w:rPr>
          <w:rFonts w:cs="Arial"/>
          <w:color w:val="000000"/>
          <w:szCs w:val="22"/>
        </w:rPr>
        <w:t xml:space="preserve">€ 48.000 je Gebäude für umfassende energetische Sanierungsmaßnahmen, wobei sich die förderbaren Sanierungskosten für die 2. Wohnung um 50% erhöhen. </w:t>
      </w:r>
    </w:p>
    <w:p w14:paraId="60BC0EDE" w14:textId="77777777" w:rsidR="00341576" w:rsidRPr="00341576" w:rsidRDefault="00341576" w:rsidP="00341576">
      <w:pPr>
        <w:autoSpaceDE w:val="0"/>
        <w:autoSpaceDN w:val="0"/>
        <w:adjustRightInd w:val="0"/>
        <w:rPr>
          <w:rFonts w:cs="Arial"/>
          <w:color w:val="000000"/>
          <w:szCs w:val="22"/>
        </w:rPr>
      </w:pPr>
      <w:r w:rsidRPr="00341576">
        <w:rPr>
          <w:rFonts w:cs="Arial"/>
          <w:color w:val="000000"/>
          <w:szCs w:val="22"/>
        </w:rPr>
        <w:t xml:space="preserve">Zusätzlich wird bei der umfassenden energetischen Sanierung für die Kosten des Sanierungscoach und des Energieausweises (Bestand-, Plan- und Fertigstellungsenergieausweis) ein Zuschuss gewährt. </w:t>
      </w:r>
    </w:p>
    <w:p w14:paraId="6220C1CB" w14:textId="77777777" w:rsidR="00A301D8" w:rsidRPr="004D2C0D" w:rsidRDefault="00A301D8" w:rsidP="00A73D70">
      <w:pPr>
        <w:ind w:right="-434"/>
        <w:jc w:val="both"/>
        <w:rPr>
          <w:rFonts w:cs="Arial"/>
          <w:color w:val="000000"/>
          <w:szCs w:val="22"/>
        </w:rPr>
      </w:pPr>
    </w:p>
    <w:tbl>
      <w:tblPr>
        <w:tblStyle w:val="Listentabelle3Akzent5"/>
        <w:tblW w:w="9493" w:type="dxa"/>
        <w:tblLook w:val="04A0" w:firstRow="1" w:lastRow="0" w:firstColumn="1" w:lastColumn="0" w:noHBand="0" w:noVBand="1"/>
      </w:tblPr>
      <w:tblGrid>
        <w:gridCol w:w="4361"/>
        <w:gridCol w:w="3000"/>
        <w:gridCol w:w="2132"/>
      </w:tblGrid>
      <w:tr w:rsidR="00A73D70" w:rsidRPr="004D2C0D" w14:paraId="19E6C582" w14:textId="77777777" w:rsidTr="00601F27">
        <w:trPr>
          <w:cnfStyle w:val="100000000000" w:firstRow="1" w:lastRow="0" w:firstColumn="0" w:lastColumn="0" w:oddVBand="0" w:evenVBand="0" w:oddHBand="0" w:evenHBand="0" w:firstRowFirstColumn="0" w:firstRowLastColumn="0" w:lastRowFirstColumn="0" w:lastRowLastColumn="0"/>
          <w:trHeight w:val="375"/>
        </w:trPr>
        <w:tc>
          <w:tcPr>
            <w:cnfStyle w:val="001000000100" w:firstRow="0" w:lastRow="0" w:firstColumn="1" w:lastColumn="0" w:oddVBand="0" w:evenVBand="0" w:oddHBand="0" w:evenHBand="0" w:firstRowFirstColumn="1" w:firstRowLastColumn="0" w:lastRowFirstColumn="0" w:lastRowLastColumn="0"/>
            <w:tcW w:w="4361" w:type="dxa"/>
          </w:tcPr>
          <w:p w14:paraId="51D4601A" w14:textId="3D7496EE" w:rsidR="00A73D70" w:rsidRPr="004D2C0D" w:rsidRDefault="00A73D70" w:rsidP="00D26B27">
            <w:pPr>
              <w:rPr>
                <w:szCs w:val="22"/>
              </w:rPr>
            </w:pPr>
            <w:r w:rsidRPr="004D2C0D">
              <w:rPr>
                <w:szCs w:val="22"/>
              </w:rPr>
              <w:t>Beratungsleistungen</w:t>
            </w:r>
          </w:p>
        </w:tc>
        <w:tc>
          <w:tcPr>
            <w:tcW w:w="5132" w:type="dxa"/>
            <w:gridSpan w:val="2"/>
          </w:tcPr>
          <w:p w14:paraId="5B77B1A4" w14:textId="3CCEF7BC" w:rsidR="00A73D70" w:rsidRPr="004D2C0D" w:rsidRDefault="00A73D70" w:rsidP="00D26B27">
            <w:pPr>
              <w:cnfStyle w:val="100000000000" w:firstRow="1" w:lastRow="0" w:firstColumn="0" w:lastColumn="0" w:oddVBand="0" w:evenVBand="0" w:oddHBand="0" w:evenHBand="0" w:firstRowFirstColumn="0" w:firstRowLastColumn="0" w:lastRowFirstColumn="0" w:lastRowLastColumn="0"/>
              <w:rPr>
                <w:szCs w:val="22"/>
              </w:rPr>
            </w:pPr>
          </w:p>
        </w:tc>
      </w:tr>
      <w:tr w:rsidR="00A73D70" w:rsidRPr="004D2C0D" w14:paraId="7A900FA9" w14:textId="77777777" w:rsidTr="00601F2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361" w:type="dxa"/>
            <w:gridSpan w:val="2"/>
          </w:tcPr>
          <w:p w14:paraId="4533D967" w14:textId="175147BD" w:rsidR="00A73D70" w:rsidRPr="004D2C0D" w:rsidRDefault="00A73D70" w:rsidP="00D26B27">
            <w:pPr>
              <w:rPr>
                <w:b w:val="0"/>
                <w:szCs w:val="22"/>
              </w:rPr>
            </w:pPr>
            <w:r w:rsidRPr="004D2C0D">
              <w:rPr>
                <w:b w:val="0"/>
                <w:szCs w:val="22"/>
              </w:rPr>
              <w:t>Energieberatung kostenlos</w:t>
            </w:r>
          </w:p>
        </w:tc>
        <w:tc>
          <w:tcPr>
            <w:tcW w:w="2132" w:type="dxa"/>
          </w:tcPr>
          <w:p w14:paraId="2BA1D5B3" w14:textId="2439E66B" w:rsidR="00A73D70" w:rsidRPr="004D2C0D" w:rsidRDefault="00A73D70" w:rsidP="00A73D70">
            <w:pPr>
              <w:cnfStyle w:val="000000100000" w:firstRow="0" w:lastRow="0" w:firstColumn="0" w:lastColumn="0" w:oddVBand="0" w:evenVBand="0" w:oddHBand="1" w:evenHBand="0" w:firstRowFirstColumn="0" w:firstRowLastColumn="0" w:lastRowFirstColumn="0" w:lastRowLastColumn="0"/>
              <w:rPr>
                <w:szCs w:val="22"/>
              </w:rPr>
            </w:pPr>
          </w:p>
        </w:tc>
      </w:tr>
      <w:tr w:rsidR="00A73D70" w:rsidRPr="004D2C0D" w14:paraId="1BE4F7BB" w14:textId="77777777" w:rsidTr="00601F27">
        <w:trPr>
          <w:trHeight w:val="202"/>
        </w:trPr>
        <w:tc>
          <w:tcPr>
            <w:cnfStyle w:val="001000000000" w:firstRow="0" w:lastRow="0" w:firstColumn="1" w:lastColumn="0" w:oddVBand="0" w:evenVBand="0" w:oddHBand="0" w:evenHBand="0" w:firstRowFirstColumn="0" w:firstRowLastColumn="0" w:lastRowFirstColumn="0" w:lastRowLastColumn="0"/>
            <w:tcW w:w="7361" w:type="dxa"/>
            <w:gridSpan w:val="2"/>
          </w:tcPr>
          <w:p w14:paraId="03B5CC38" w14:textId="7ED693B7" w:rsidR="00A73D70" w:rsidRPr="004D2C0D" w:rsidRDefault="00A73D70" w:rsidP="00D26B27">
            <w:pPr>
              <w:rPr>
                <w:b w:val="0"/>
                <w:szCs w:val="22"/>
              </w:rPr>
            </w:pPr>
            <w:r w:rsidRPr="004D2C0D">
              <w:rPr>
                <w:b w:val="0"/>
                <w:szCs w:val="22"/>
              </w:rPr>
              <w:t>Sanierungscoach bei umfassender Sanierung (max. 70 %)</w:t>
            </w:r>
          </w:p>
        </w:tc>
        <w:tc>
          <w:tcPr>
            <w:tcW w:w="2132" w:type="dxa"/>
          </w:tcPr>
          <w:p w14:paraId="6AFA358B" w14:textId="17D19EE5" w:rsidR="00A73D70" w:rsidRPr="004D2C0D" w:rsidRDefault="00A73D70" w:rsidP="00A73D70">
            <w:pPr>
              <w:pStyle w:val="Listenabsatz"/>
              <w:jc w:val="right"/>
              <w:cnfStyle w:val="000000000000" w:firstRow="0" w:lastRow="0" w:firstColumn="0" w:lastColumn="0" w:oddVBand="0" w:evenVBand="0" w:oddHBand="0" w:evenHBand="0" w:firstRowFirstColumn="0" w:firstRowLastColumn="0" w:lastRowFirstColumn="0" w:lastRowLastColumn="0"/>
              <w:rPr>
                <w:szCs w:val="22"/>
              </w:rPr>
            </w:pPr>
            <w:r w:rsidRPr="004D2C0D">
              <w:rPr>
                <w:szCs w:val="22"/>
              </w:rPr>
              <w:t>€ 800,-</w:t>
            </w:r>
          </w:p>
        </w:tc>
      </w:tr>
      <w:tr w:rsidR="00A73D70" w:rsidRPr="004D2C0D" w14:paraId="4D8925E7" w14:textId="77777777" w:rsidTr="00601F2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7361" w:type="dxa"/>
            <w:gridSpan w:val="2"/>
          </w:tcPr>
          <w:p w14:paraId="7FA43E20" w14:textId="28524C26" w:rsidR="00A73D70" w:rsidRPr="004D2C0D" w:rsidRDefault="00A73D70" w:rsidP="00D26B27">
            <w:pPr>
              <w:rPr>
                <w:b w:val="0"/>
                <w:szCs w:val="22"/>
              </w:rPr>
            </w:pPr>
            <w:r w:rsidRPr="004D2C0D">
              <w:rPr>
                <w:b w:val="0"/>
                <w:szCs w:val="22"/>
              </w:rPr>
              <w:t>Energieausweis bei umfassender Sanierung</w:t>
            </w:r>
          </w:p>
        </w:tc>
        <w:tc>
          <w:tcPr>
            <w:tcW w:w="2132" w:type="dxa"/>
          </w:tcPr>
          <w:p w14:paraId="5AF03E0C" w14:textId="68BF4327" w:rsidR="00A73D70" w:rsidRPr="004D2C0D" w:rsidRDefault="00A73D70" w:rsidP="00A73D70">
            <w:pPr>
              <w:pStyle w:val="Listenabsatz"/>
              <w:jc w:val="right"/>
              <w:cnfStyle w:val="000000100000" w:firstRow="0" w:lastRow="0" w:firstColumn="0" w:lastColumn="0" w:oddVBand="0" w:evenVBand="0" w:oddHBand="1" w:evenHBand="0" w:firstRowFirstColumn="0" w:firstRowLastColumn="0" w:lastRowFirstColumn="0" w:lastRowLastColumn="0"/>
              <w:rPr>
                <w:szCs w:val="22"/>
              </w:rPr>
            </w:pPr>
            <w:r w:rsidRPr="004D2C0D">
              <w:rPr>
                <w:szCs w:val="22"/>
              </w:rPr>
              <w:t>€ 300,-</w:t>
            </w:r>
          </w:p>
        </w:tc>
      </w:tr>
    </w:tbl>
    <w:tbl>
      <w:tblPr>
        <w:tblStyle w:val="HelleListe-Akzent3"/>
        <w:tblW w:w="9488" w:type="dxa"/>
        <w:tblLook w:val="04A0" w:firstRow="1" w:lastRow="0" w:firstColumn="1" w:lastColumn="0" w:noHBand="0" w:noVBand="1"/>
      </w:tblPr>
      <w:tblGrid>
        <w:gridCol w:w="4735"/>
        <w:gridCol w:w="2343"/>
        <w:gridCol w:w="2410"/>
      </w:tblGrid>
      <w:tr w:rsidR="00601F27" w:rsidRPr="004D2C0D" w14:paraId="682C98E1" w14:textId="77777777" w:rsidTr="00601F27">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735" w:type="dxa"/>
          </w:tcPr>
          <w:p w14:paraId="3A007981" w14:textId="3E833806" w:rsidR="00A73D70" w:rsidRPr="004D2C0D" w:rsidRDefault="00A73D70" w:rsidP="00D26B27">
            <w:pPr>
              <w:rPr>
                <w:szCs w:val="22"/>
              </w:rPr>
            </w:pPr>
            <w:r w:rsidRPr="004D2C0D">
              <w:rPr>
                <w:szCs w:val="22"/>
              </w:rPr>
              <w:t>Haustechnikanlagen</w:t>
            </w:r>
          </w:p>
        </w:tc>
        <w:tc>
          <w:tcPr>
            <w:tcW w:w="4753" w:type="dxa"/>
            <w:gridSpan w:val="2"/>
          </w:tcPr>
          <w:p w14:paraId="2FE937FE" w14:textId="274A64EC" w:rsidR="00A73D70" w:rsidRDefault="00A73D70" w:rsidP="00D26B27">
            <w:pPr>
              <w:cnfStyle w:val="100000000000" w:firstRow="1" w:lastRow="0" w:firstColumn="0" w:lastColumn="0" w:oddVBand="0" w:evenVBand="0" w:oddHBand="0" w:evenHBand="0" w:firstRowFirstColumn="0" w:firstRowLastColumn="0" w:lastRowFirstColumn="0" w:lastRowLastColumn="0"/>
              <w:rPr>
                <w:b w:val="0"/>
                <w:bCs w:val="0"/>
                <w:szCs w:val="22"/>
              </w:rPr>
            </w:pPr>
            <w:r w:rsidRPr="004D2C0D">
              <w:rPr>
                <w:szCs w:val="22"/>
              </w:rPr>
              <w:t>Förderhöhe (max. 3</w:t>
            </w:r>
            <w:r w:rsidR="00601F27">
              <w:rPr>
                <w:szCs w:val="22"/>
              </w:rPr>
              <w:t>5</w:t>
            </w:r>
            <w:r w:rsidRPr="004D2C0D">
              <w:rPr>
                <w:szCs w:val="22"/>
              </w:rPr>
              <w:t xml:space="preserve"> % der </w:t>
            </w:r>
            <w:r w:rsidR="00B94DC6">
              <w:rPr>
                <w:szCs w:val="22"/>
              </w:rPr>
              <w:t>Sanierungskosten</w:t>
            </w:r>
            <w:r w:rsidRPr="004D2C0D">
              <w:rPr>
                <w:szCs w:val="22"/>
              </w:rPr>
              <w:t>)</w:t>
            </w:r>
          </w:p>
          <w:p w14:paraId="3F422906" w14:textId="63016FE5" w:rsidR="00B94DC6" w:rsidRPr="004D2C0D" w:rsidRDefault="00B94DC6" w:rsidP="00D26B27">
            <w:pPr>
              <w:cnfStyle w:val="100000000000" w:firstRow="1" w:lastRow="0" w:firstColumn="0" w:lastColumn="0" w:oddVBand="0" w:evenVBand="0" w:oddHBand="0" w:evenHBand="0" w:firstRowFirstColumn="0" w:firstRowLastColumn="0" w:lastRowFirstColumn="0" w:lastRowLastColumn="0"/>
              <w:rPr>
                <w:szCs w:val="22"/>
              </w:rPr>
            </w:pPr>
            <w:r w:rsidRPr="00B94DC6">
              <w:rPr>
                <w:color w:val="auto"/>
                <w:sz w:val="20"/>
                <w:szCs w:val="22"/>
              </w:rPr>
              <w:t>Für Wohnhäuser und Gebäude mit 2 Wohnungen bis max</w:t>
            </w:r>
            <w:r>
              <w:rPr>
                <w:color w:val="auto"/>
                <w:sz w:val="20"/>
                <w:szCs w:val="22"/>
              </w:rPr>
              <w:t>.</w:t>
            </w:r>
            <w:r w:rsidRPr="00B94DC6">
              <w:rPr>
                <w:color w:val="auto"/>
                <w:sz w:val="20"/>
                <w:szCs w:val="22"/>
              </w:rPr>
              <w:t xml:space="preserve"> 50 % der Sanierungsk</w:t>
            </w:r>
            <w:r>
              <w:rPr>
                <w:color w:val="auto"/>
                <w:sz w:val="20"/>
                <w:szCs w:val="22"/>
              </w:rPr>
              <w:t>osten</w:t>
            </w:r>
          </w:p>
        </w:tc>
      </w:tr>
      <w:tr w:rsidR="00601F27" w:rsidRPr="004D2C0D" w14:paraId="68CC9BD9" w14:textId="77777777" w:rsidTr="00601F2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078" w:type="dxa"/>
            <w:gridSpan w:val="2"/>
          </w:tcPr>
          <w:p w14:paraId="11F1D771" w14:textId="3A7316C6" w:rsidR="00A73D70" w:rsidRPr="004D2C0D" w:rsidRDefault="00601F27" w:rsidP="00D26B27">
            <w:pPr>
              <w:rPr>
                <w:b w:val="0"/>
                <w:szCs w:val="22"/>
              </w:rPr>
            </w:pPr>
            <w:r>
              <w:rPr>
                <w:b w:val="0"/>
                <w:szCs w:val="22"/>
              </w:rPr>
              <w:t xml:space="preserve">Austausch </w:t>
            </w:r>
            <w:r w:rsidR="006D54C9">
              <w:rPr>
                <w:b w:val="0"/>
                <w:szCs w:val="22"/>
              </w:rPr>
              <w:t>A</w:t>
            </w:r>
            <w:r>
              <w:rPr>
                <w:b w:val="0"/>
                <w:szCs w:val="22"/>
              </w:rPr>
              <w:t xml:space="preserve">lt gegen </w:t>
            </w:r>
            <w:r w:rsidR="006D54C9">
              <w:rPr>
                <w:b w:val="0"/>
                <w:szCs w:val="22"/>
              </w:rPr>
              <w:t>N</w:t>
            </w:r>
            <w:r>
              <w:rPr>
                <w:b w:val="0"/>
                <w:szCs w:val="22"/>
              </w:rPr>
              <w:t xml:space="preserve">eu - biogene Brennstoffe oder </w:t>
            </w:r>
            <w:r w:rsidR="00A73D70" w:rsidRPr="004D2C0D">
              <w:rPr>
                <w:b w:val="0"/>
                <w:szCs w:val="22"/>
              </w:rPr>
              <w:t>Fernwärme</w:t>
            </w:r>
            <w:r w:rsidR="007206E0">
              <w:rPr>
                <w:b w:val="0"/>
                <w:szCs w:val="22"/>
              </w:rPr>
              <w:t xml:space="preserve"> max. 30 % </w:t>
            </w:r>
          </w:p>
        </w:tc>
        <w:tc>
          <w:tcPr>
            <w:tcW w:w="2410" w:type="dxa"/>
          </w:tcPr>
          <w:p w14:paraId="05E2CC84" w14:textId="568D827D" w:rsidR="00A73D70" w:rsidRPr="004D2C0D" w:rsidRDefault="00A73D70" w:rsidP="00A73D70">
            <w:pPr>
              <w:pStyle w:val="Listenabsatz"/>
              <w:jc w:val="right"/>
              <w:cnfStyle w:val="000000100000" w:firstRow="0" w:lastRow="0" w:firstColumn="0" w:lastColumn="0" w:oddVBand="0" w:evenVBand="0" w:oddHBand="1" w:evenHBand="0" w:firstRowFirstColumn="0" w:firstRowLastColumn="0" w:lastRowFirstColumn="0" w:lastRowLastColumn="0"/>
              <w:rPr>
                <w:szCs w:val="22"/>
              </w:rPr>
            </w:pPr>
            <w:r w:rsidRPr="004D2C0D">
              <w:rPr>
                <w:szCs w:val="22"/>
              </w:rPr>
              <w:t xml:space="preserve">€ </w:t>
            </w:r>
            <w:r w:rsidR="00601F27">
              <w:rPr>
                <w:szCs w:val="22"/>
              </w:rPr>
              <w:t>3</w:t>
            </w:r>
            <w:r w:rsidRPr="004D2C0D">
              <w:rPr>
                <w:szCs w:val="22"/>
              </w:rPr>
              <w:t>.</w:t>
            </w:r>
            <w:r w:rsidR="00601F27">
              <w:rPr>
                <w:szCs w:val="22"/>
              </w:rPr>
              <w:t>0</w:t>
            </w:r>
            <w:r w:rsidRPr="004D2C0D">
              <w:rPr>
                <w:szCs w:val="22"/>
              </w:rPr>
              <w:t>00,-</w:t>
            </w:r>
          </w:p>
        </w:tc>
      </w:tr>
      <w:tr w:rsidR="00601F27" w:rsidRPr="004D2C0D" w14:paraId="7C1AD445" w14:textId="77777777" w:rsidTr="00601F27">
        <w:trPr>
          <w:trHeight w:val="302"/>
        </w:trPr>
        <w:tc>
          <w:tcPr>
            <w:cnfStyle w:val="001000000000" w:firstRow="0" w:lastRow="0" w:firstColumn="1" w:lastColumn="0" w:oddVBand="0" w:evenVBand="0" w:oddHBand="0" w:evenHBand="0" w:firstRowFirstColumn="0" w:firstRowLastColumn="0" w:lastRowFirstColumn="0" w:lastRowLastColumn="0"/>
            <w:tcW w:w="7078" w:type="dxa"/>
            <w:gridSpan w:val="2"/>
          </w:tcPr>
          <w:p w14:paraId="0C83C102" w14:textId="61918B79" w:rsidR="00A73D70" w:rsidRPr="004D2C0D" w:rsidRDefault="00601F27" w:rsidP="00D26B27">
            <w:pPr>
              <w:rPr>
                <w:b w:val="0"/>
                <w:szCs w:val="22"/>
              </w:rPr>
            </w:pPr>
            <w:r>
              <w:rPr>
                <w:b w:val="0"/>
                <w:szCs w:val="22"/>
              </w:rPr>
              <w:t>Austausch alte fossile Heizung gegen biogene Brennstoffe oder Fernwärme</w:t>
            </w:r>
            <w:r w:rsidR="007206E0">
              <w:rPr>
                <w:b w:val="0"/>
                <w:szCs w:val="22"/>
              </w:rPr>
              <w:t xml:space="preserve"> max. 35 % </w:t>
            </w:r>
          </w:p>
        </w:tc>
        <w:tc>
          <w:tcPr>
            <w:tcW w:w="2410" w:type="dxa"/>
          </w:tcPr>
          <w:p w14:paraId="72BA9CB6" w14:textId="7BC32730" w:rsidR="00A73D70" w:rsidRPr="004D2C0D" w:rsidRDefault="00A73D70" w:rsidP="00A73D70">
            <w:pPr>
              <w:pStyle w:val="Listenabsatz"/>
              <w:jc w:val="right"/>
              <w:cnfStyle w:val="000000000000" w:firstRow="0" w:lastRow="0" w:firstColumn="0" w:lastColumn="0" w:oddVBand="0" w:evenVBand="0" w:oddHBand="0" w:evenHBand="0" w:firstRowFirstColumn="0" w:firstRowLastColumn="0" w:lastRowFirstColumn="0" w:lastRowLastColumn="0"/>
              <w:rPr>
                <w:szCs w:val="22"/>
              </w:rPr>
            </w:pPr>
            <w:r w:rsidRPr="004D2C0D">
              <w:rPr>
                <w:szCs w:val="22"/>
              </w:rPr>
              <w:t xml:space="preserve">€ </w:t>
            </w:r>
            <w:r w:rsidR="00601F27">
              <w:rPr>
                <w:szCs w:val="22"/>
              </w:rPr>
              <w:t>6</w:t>
            </w:r>
            <w:r w:rsidRPr="004D2C0D">
              <w:rPr>
                <w:szCs w:val="22"/>
              </w:rPr>
              <w:t>.</w:t>
            </w:r>
            <w:r w:rsidR="00601F27">
              <w:rPr>
                <w:szCs w:val="22"/>
              </w:rPr>
              <w:t>0</w:t>
            </w:r>
            <w:r w:rsidRPr="004D2C0D">
              <w:rPr>
                <w:szCs w:val="22"/>
              </w:rPr>
              <w:t>00,-</w:t>
            </w:r>
          </w:p>
        </w:tc>
      </w:tr>
      <w:tr w:rsidR="00601F27" w:rsidRPr="004D2C0D" w14:paraId="30073B18" w14:textId="77777777" w:rsidTr="00601F2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078" w:type="dxa"/>
            <w:gridSpan w:val="2"/>
          </w:tcPr>
          <w:p w14:paraId="3E4E6BE8" w14:textId="5282804B" w:rsidR="00A73D70" w:rsidRPr="004D2C0D" w:rsidRDefault="00601F27" w:rsidP="00D26B27">
            <w:pPr>
              <w:rPr>
                <w:b w:val="0"/>
                <w:szCs w:val="22"/>
              </w:rPr>
            </w:pPr>
            <w:r>
              <w:rPr>
                <w:b w:val="0"/>
                <w:szCs w:val="22"/>
              </w:rPr>
              <w:t xml:space="preserve">Solaranlage </w:t>
            </w:r>
          </w:p>
        </w:tc>
        <w:tc>
          <w:tcPr>
            <w:tcW w:w="2410" w:type="dxa"/>
          </w:tcPr>
          <w:p w14:paraId="45BE027B" w14:textId="77777777" w:rsidR="00601F27" w:rsidRDefault="00601F27" w:rsidP="00601F27">
            <w:pPr>
              <w:pStyle w:val="Listenabsatz"/>
              <w:ind w:left="-675" w:right="40"/>
              <w:jc w:val="right"/>
              <w:cnfStyle w:val="000000100000" w:firstRow="0" w:lastRow="0" w:firstColumn="0" w:lastColumn="0" w:oddVBand="0" w:evenVBand="0" w:oddHBand="1" w:evenHBand="0" w:firstRowFirstColumn="0" w:firstRowLastColumn="0" w:lastRowFirstColumn="0" w:lastRowLastColumn="0"/>
              <w:rPr>
                <w:szCs w:val="22"/>
              </w:rPr>
            </w:pPr>
            <w:r>
              <w:rPr>
                <w:szCs w:val="22"/>
              </w:rPr>
              <w:t xml:space="preserve"> € 250,- je m2 </w:t>
            </w:r>
          </w:p>
          <w:p w14:paraId="618E6D62" w14:textId="241D3C73" w:rsidR="00A73D70" w:rsidRPr="004D2C0D" w:rsidRDefault="00601F27" w:rsidP="00601F27">
            <w:pPr>
              <w:pStyle w:val="Listenabsatz"/>
              <w:ind w:left="-675" w:right="40"/>
              <w:jc w:val="right"/>
              <w:cnfStyle w:val="000000100000" w:firstRow="0" w:lastRow="0" w:firstColumn="0" w:lastColumn="0" w:oddVBand="0" w:evenVBand="0" w:oddHBand="1" w:evenHBand="0" w:firstRowFirstColumn="0" w:firstRowLastColumn="0" w:lastRowFirstColumn="0" w:lastRowLastColumn="0"/>
              <w:rPr>
                <w:szCs w:val="22"/>
              </w:rPr>
            </w:pPr>
            <w:r>
              <w:rPr>
                <w:szCs w:val="22"/>
              </w:rPr>
              <w:t xml:space="preserve">max. </w:t>
            </w:r>
            <w:r w:rsidR="00A73D70" w:rsidRPr="004D2C0D">
              <w:rPr>
                <w:szCs w:val="22"/>
              </w:rPr>
              <w:t xml:space="preserve">€ </w:t>
            </w:r>
            <w:r>
              <w:rPr>
                <w:szCs w:val="22"/>
              </w:rPr>
              <w:t>3.750</w:t>
            </w:r>
            <w:r w:rsidR="00A73D70" w:rsidRPr="004D2C0D">
              <w:rPr>
                <w:szCs w:val="22"/>
              </w:rPr>
              <w:t>,-</w:t>
            </w:r>
          </w:p>
        </w:tc>
      </w:tr>
      <w:tr w:rsidR="00601F27" w:rsidRPr="004D2C0D" w14:paraId="6F1116B1" w14:textId="77777777" w:rsidTr="00601F27">
        <w:trPr>
          <w:trHeight w:val="302"/>
        </w:trPr>
        <w:tc>
          <w:tcPr>
            <w:cnfStyle w:val="001000000000" w:firstRow="0" w:lastRow="0" w:firstColumn="1" w:lastColumn="0" w:oddVBand="0" w:evenVBand="0" w:oddHBand="0" w:evenHBand="0" w:firstRowFirstColumn="0" w:firstRowLastColumn="0" w:lastRowFirstColumn="0" w:lastRowLastColumn="0"/>
            <w:tcW w:w="7078" w:type="dxa"/>
            <w:gridSpan w:val="2"/>
          </w:tcPr>
          <w:p w14:paraId="75F10045" w14:textId="20D9BAAA" w:rsidR="00A73D70" w:rsidRPr="004D2C0D" w:rsidRDefault="00601F27" w:rsidP="00A73D70">
            <w:pPr>
              <w:rPr>
                <w:b w:val="0"/>
                <w:szCs w:val="22"/>
              </w:rPr>
            </w:pPr>
            <w:r>
              <w:rPr>
                <w:b w:val="0"/>
                <w:szCs w:val="22"/>
              </w:rPr>
              <w:t>Photovoltaik-Anlage</w:t>
            </w:r>
          </w:p>
        </w:tc>
        <w:tc>
          <w:tcPr>
            <w:tcW w:w="2410" w:type="dxa"/>
          </w:tcPr>
          <w:p w14:paraId="39FE26F3" w14:textId="77777777" w:rsidR="00A73D70" w:rsidRDefault="00601F27" w:rsidP="00A73D70">
            <w:pPr>
              <w:pStyle w:val="Listenabsatz"/>
              <w:jc w:val="right"/>
              <w:cnfStyle w:val="000000000000" w:firstRow="0" w:lastRow="0" w:firstColumn="0" w:lastColumn="0" w:oddVBand="0" w:evenVBand="0" w:oddHBand="0" w:evenHBand="0" w:firstRowFirstColumn="0" w:firstRowLastColumn="0" w:lastRowFirstColumn="0" w:lastRowLastColumn="0"/>
              <w:rPr>
                <w:szCs w:val="22"/>
              </w:rPr>
            </w:pPr>
            <w:r>
              <w:rPr>
                <w:szCs w:val="22"/>
              </w:rPr>
              <w:t>€ 480 je kWp</w:t>
            </w:r>
          </w:p>
          <w:p w14:paraId="39A44C54" w14:textId="1E9BB127" w:rsidR="00601F27" w:rsidRPr="004D2C0D" w:rsidRDefault="00601F27" w:rsidP="00A73D70">
            <w:pPr>
              <w:pStyle w:val="Listenabsatz"/>
              <w:jc w:val="right"/>
              <w:cnfStyle w:val="000000000000" w:firstRow="0" w:lastRow="0" w:firstColumn="0" w:lastColumn="0" w:oddVBand="0" w:evenVBand="0" w:oddHBand="0" w:evenHBand="0" w:firstRowFirstColumn="0" w:firstRowLastColumn="0" w:lastRowFirstColumn="0" w:lastRowLastColumn="0"/>
              <w:rPr>
                <w:szCs w:val="22"/>
              </w:rPr>
            </w:pPr>
            <w:r>
              <w:rPr>
                <w:szCs w:val="22"/>
              </w:rPr>
              <w:t>max. € 2.400,-</w:t>
            </w:r>
          </w:p>
        </w:tc>
      </w:tr>
      <w:tr w:rsidR="00601F27" w:rsidRPr="004D2C0D" w14:paraId="2B77B43B" w14:textId="77777777" w:rsidTr="00601F2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078" w:type="dxa"/>
            <w:gridSpan w:val="2"/>
          </w:tcPr>
          <w:p w14:paraId="0D4DCD70" w14:textId="7D54130D" w:rsidR="00A73D70" w:rsidRPr="004D2C0D" w:rsidRDefault="00601F27" w:rsidP="00A73D70">
            <w:pPr>
              <w:rPr>
                <w:b w:val="0"/>
                <w:szCs w:val="22"/>
              </w:rPr>
            </w:pPr>
            <w:r>
              <w:rPr>
                <w:b w:val="0"/>
                <w:szCs w:val="22"/>
              </w:rPr>
              <w:t xml:space="preserve">Solarstromspeicher </w:t>
            </w:r>
          </w:p>
        </w:tc>
        <w:tc>
          <w:tcPr>
            <w:tcW w:w="2410" w:type="dxa"/>
          </w:tcPr>
          <w:p w14:paraId="7CCEFAC8" w14:textId="45ACC7C5" w:rsidR="00A73D70" w:rsidRPr="004D2C0D" w:rsidRDefault="00A73D70" w:rsidP="00A73D70">
            <w:pPr>
              <w:pStyle w:val="Listenabsatz"/>
              <w:jc w:val="right"/>
              <w:cnfStyle w:val="000000100000" w:firstRow="0" w:lastRow="0" w:firstColumn="0" w:lastColumn="0" w:oddVBand="0" w:evenVBand="0" w:oddHBand="1" w:evenHBand="0" w:firstRowFirstColumn="0" w:firstRowLastColumn="0" w:lastRowFirstColumn="0" w:lastRowLastColumn="0"/>
              <w:rPr>
                <w:szCs w:val="22"/>
              </w:rPr>
            </w:pPr>
            <w:r w:rsidRPr="004D2C0D">
              <w:rPr>
                <w:szCs w:val="22"/>
              </w:rPr>
              <w:t>€ 3.000,-</w:t>
            </w:r>
          </w:p>
        </w:tc>
      </w:tr>
    </w:tbl>
    <w:p w14:paraId="05BD7F96" w14:textId="0088FD92" w:rsidR="007206E0" w:rsidRDefault="007206E0" w:rsidP="00341576">
      <w:pPr>
        <w:ind w:left="284" w:right="-434" w:hanging="284"/>
        <w:jc w:val="both"/>
        <w:rPr>
          <w:rFonts w:cs="Arial"/>
          <w:color w:val="000000"/>
          <w:szCs w:val="22"/>
        </w:rPr>
      </w:pPr>
    </w:p>
    <w:p w14:paraId="227478B9" w14:textId="77777777" w:rsidR="007206E0" w:rsidRDefault="007206E0">
      <w:pPr>
        <w:rPr>
          <w:rFonts w:cs="Arial"/>
          <w:color w:val="000000"/>
          <w:szCs w:val="22"/>
        </w:rPr>
      </w:pPr>
      <w:r>
        <w:rPr>
          <w:rFonts w:cs="Arial"/>
          <w:color w:val="000000"/>
          <w:szCs w:val="22"/>
        </w:rPr>
        <w:br w:type="page"/>
      </w:r>
    </w:p>
    <w:p w14:paraId="49C282BA" w14:textId="73607199" w:rsidR="004D2C0D" w:rsidRPr="004D2C0D" w:rsidRDefault="004D2C0D" w:rsidP="004D2C0D">
      <w:pPr>
        <w:autoSpaceDE w:val="0"/>
        <w:autoSpaceDN w:val="0"/>
        <w:adjustRightInd w:val="0"/>
        <w:rPr>
          <w:rFonts w:cs="Arial"/>
          <w:color w:val="000000"/>
          <w:szCs w:val="22"/>
        </w:rPr>
      </w:pPr>
      <w:bookmarkStart w:id="0" w:name="_GoBack"/>
      <w:bookmarkEnd w:id="0"/>
      <w:r w:rsidRPr="004D2C0D">
        <w:rPr>
          <w:rFonts w:cs="Arial"/>
          <w:b/>
          <w:bCs/>
          <w:color w:val="000000"/>
          <w:szCs w:val="22"/>
        </w:rPr>
        <w:lastRenderedPageBreak/>
        <w:t xml:space="preserve">Wie ist der Förderungsablauf? </w:t>
      </w:r>
      <w:r w:rsidR="001141A1">
        <w:rPr>
          <w:rFonts w:cs="Arial"/>
          <w:b/>
          <w:bCs/>
          <w:color w:val="000000"/>
          <w:szCs w:val="22"/>
        </w:rPr>
        <w:t>(AUSWAHL)</w:t>
      </w:r>
    </w:p>
    <w:p w14:paraId="461E083D" w14:textId="3B988F52" w:rsidR="004D2C0D" w:rsidRPr="001141A1" w:rsidRDefault="004D2C0D" w:rsidP="001141A1">
      <w:pPr>
        <w:pStyle w:val="Listenabsatz"/>
        <w:numPr>
          <w:ilvl w:val="0"/>
          <w:numId w:val="27"/>
        </w:numPr>
        <w:autoSpaceDE w:val="0"/>
        <w:autoSpaceDN w:val="0"/>
        <w:adjustRightInd w:val="0"/>
        <w:rPr>
          <w:rFonts w:cs="Arial"/>
          <w:color w:val="000000"/>
          <w:szCs w:val="22"/>
        </w:rPr>
      </w:pPr>
      <w:r w:rsidRPr="001141A1">
        <w:rPr>
          <w:rFonts w:cs="Arial"/>
          <w:color w:val="000000"/>
          <w:szCs w:val="22"/>
        </w:rPr>
        <w:t xml:space="preserve">Förderungsanträge sind unter Verwendung der aufgelegten Formblätter beim Amt der Kärntner Landesregierung, Abteilung 2, Mießtaler Straße 1, 9021 Klagenfurt einzubringen. Die Formulare stehen auch auf </w:t>
      </w:r>
      <w:r w:rsidRPr="001141A1">
        <w:rPr>
          <w:rFonts w:cs="Arial"/>
          <w:color w:val="0000FF"/>
          <w:szCs w:val="22"/>
        </w:rPr>
        <w:t xml:space="preserve">www.wohnbau.ktn.gv.at </w:t>
      </w:r>
      <w:r w:rsidRPr="001141A1">
        <w:rPr>
          <w:rFonts w:cs="Arial"/>
          <w:color w:val="000000"/>
          <w:szCs w:val="22"/>
        </w:rPr>
        <w:t xml:space="preserve">zum Download bereit. </w:t>
      </w:r>
    </w:p>
    <w:p w14:paraId="2E86A094" w14:textId="3BD1311D" w:rsidR="00341576" w:rsidRPr="001141A1" w:rsidRDefault="004D2C0D" w:rsidP="001141A1">
      <w:pPr>
        <w:pStyle w:val="Listenabsatz"/>
        <w:numPr>
          <w:ilvl w:val="0"/>
          <w:numId w:val="27"/>
        </w:numPr>
        <w:ind w:right="-434"/>
        <w:jc w:val="both"/>
        <w:rPr>
          <w:rFonts w:cs="Arial"/>
          <w:color w:val="000000"/>
          <w:szCs w:val="22"/>
        </w:rPr>
      </w:pPr>
      <w:r w:rsidRPr="001141A1">
        <w:rPr>
          <w:rFonts w:cs="Arial"/>
          <w:color w:val="000000"/>
          <w:szCs w:val="22"/>
        </w:rPr>
        <w:t>Zum Zeitpunkt der Antragstellung ist das Vor-Ort-Energieberatungsprotokoll auf elektronischem Weg in den EBS Manager zu stellen und eine allenfalls erforderliche Baubewilligung dem Antrag beizufügen.</w:t>
      </w:r>
    </w:p>
    <w:p w14:paraId="39C98985" w14:textId="40200011" w:rsidR="001141A1" w:rsidRPr="001141A1" w:rsidRDefault="001141A1" w:rsidP="001141A1">
      <w:pPr>
        <w:pStyle w:val="Listenabsatz"/>
        <w:numPr>
          <w:ilvl w:val="0"/>
          <w:numId w:val="27"/>
        </w:numPr>
        <w:autoSpaceDE w:val="0"/>
        <w:autoSpaceDN w:val="0"/>
        <w:adjustRightInd w:val="0"/>
        <w:rPr>
          <w:rFonts w:cs="Arial"/>
          <w:color w:val="000000"/>
          <w:szCs w:val="22"/>
        </w:rPr>
      </w:pPr>
      <w:r w:rsidRPr="001141A1">
        <w:rPr>
          <w:rFonts w:cs="Arial"/>
          <w:color w:val="000000"/>
          <w:szCs w:val="22"/>
        </w:rPr>
        <w:t>Die in der Zusicherung genannte Förderung ist ein vorläufiger Maximalbetrag. Die Festlegung der endgültigen Förderungshöhe erfolgt auf Basis der Prüfung der Förderungsvoraussetzungen (z</w:t>
      </w:r>
      <w:r>
        <w:rPr>
          <w:rFonts w:cs="Arial"/>
          <w:color w:val="000000"/>
          <w:szCs w:val="22"/>
        </w:rPr>
        <w:t>.</w:t>
      </w:r>
      <w:r w:rsidRPr="001141A1">
        <w:rPr>
          <w:rFonts w:cs="Arial"/>
          <w:color w:val="000000"/>
          <w:szCs w:val="22"/>
        </w:rPr>
        <w:t>B</w:t>
      </w:r>
      <w:r>
        <w:rPr>
          <w:rFonts w:cs="Arial"/>
          <w:color w:val="000000"/>
          <w:szCs w:val="22"/>
        </w:rPr>
        <w:t>.</w:t>
      </w:r>
      <w:r w:rsidRPr="001141A1">
        <w:rPr>
          <w:rFonts w:cs="Arial"/>
          <w:color w:val="000000"/>
          <w:szCs w:val="22"/>
        </w:rPr>
        <w:t xml:space="preserve"> </w:t>
      </w:r>
      <w:r>
        <w:rPr>
          <w:rFonts w:cs="Arial"/>
          <w:color w:val="000000"/>
          <w:szCs w:val="22"/>
        </w:rPr>
        <w:t>h</w:t>
      </w:r>
      <w:r w:rsidRPr="001141A1">
        <w:rPr>
          <w:rFonts w:cs="Arial"/>
          <w:color w:val="000000"/>
          <w:szCs w:val="22"/>
        </w:rPr>
        <w:t xml:space="preserve">auptwohnsitzliche Nutzung) und der Endabrechnung. </w:t>
      </w:r>
    </w:p>
    <w:p w14:paraId="72BC0769" w14:textId="77777777" w:rsidR="00334976" w:rsidRDefault="00334976" w:rsidP="00334976">
      <w:pPr>
        <w:pStyle w:val="Listenabsatz"/>
        <w:numPr>
          <w:ilvl w:val="0"/>
          <w:numId w:val="27"/>
        </w:numPr>
        <w:rPr>
          <w:rFonts w:ascii="Times New Roman" w:hAnsi="Times New Roman"/>
          <w:sz w:val="24"/>
        </w:rPr>
      </w:pPr>
      <w:r>
        <w:t xml:space="preserve">Der Förderungsantrag ist </w:t>
      </w:r>
      <w:r w:rsidRPr="00334976">
        <w:rPr>
          <w:rStyle w:val="Fett"/>
          <w:rFonts w:eastAsiaTheme="majorEastAsia"/>
          <w:u w:val="single"/>
        </w:rPr>
        <w:t>VOR Beginn der geplanten Sanierungsmaßnahmen einzureichen</w:t>
      </w:r>
      <w:r>
        <w:t>.</w:t>
      </w:r>
    </w:p>
    <w:p w14:paraId="4C509A49" w14:textId="5EDFD594" w:rsidR="001141A1" w:rsidRPr="001141A1" w:rsidRDefault="001141A1" w:rsidP="001141A1">
      <w:pPr>
        <w:pStyle w:val="Listenabsatz"/>
        <w:numPr>
          <w:ilvl w:val="0"/>
          <w:numId w:val="27"/>
        </w:numPr>
        <w:ind w:right="-434"/>
        <w:jc w:val="both"/>
        <w:rPr>
          <w:rFonts w:cs="Arial"/>
          <w:b/>
          <w:color w:val="000000"/>
          <w:szCs w:val="22"/>
        </w:rPr>
      </w:pPr>
      <w:r>
        <w:rPr>
          <w:rFonts w:cs="Arial"/>
          <w:b/>
          <w:color w:val="000000"/>
          <w:szCs w:val="22"/>
        </w:rPr>
        <w:t>….</w:t>
      </w:r>
    </w:p>
    <w:p w14:paraId="4F850F74" w14:textId="77777777" w:rsidR="00A175B8" w:rsidRDefault="00A175B8" w:rsidP="004D2C0D">
      <w:pPr>
        <w:ind w:left="284" w:right="-434" w:hanging="284"/>
        <w:jc w:val="both"/>
        <w:rPr>
          <w:rFonts w:cs="Arial"/>
          <w:color w:val="000000"/>
          <w:szCs w:val="22"/>
        </w:rPr>
      </w:pPr>
    </w:p>
    <w:p w14:paraId="72D5E525" w14:textId="285F25F9" w:rsidR="004D2C0D" w:rsidRDefault="004D2C0D" w:rsidP="004D2C0D">
      <w:pPr>
        <w:ind w:left="284" w:right="-434" w:hanging="284"/>
        <w:jc w:val="both"/>
        <w:rPr>
          <w:rFonts w:cs="Arial"/>
          <w:color w:val="000000"/>
          <w:szCs w:val="22"/>
        </w:rPr>
      </w:pPr>
      <w:r>
        <w:rPr>
          <w:rFonts w:cs="Arial"/>
          <w:color w:val="000000"/>
          <w:szCs w:val="22"/>
        </w:rPr>
        <w:t xml:space="preserve">ALLE weiteren Informationen dazu finden Sie unter </w:t>
      </w:r>
      <w:hyperlink r:id="rId10" w:history="1">
        <w:r w:rsidR="00334976" w:rsidRPr="002A2D15">
          <w:rPr>
            <w:rStyle w:val="Hyperlink"/>
            <w:rFonts w:cs="Arial"/>
            <w:szCs w:val="22"/>
          </w:rPr>
          <w:t>https://www.ktn.gv.at/Service/Formulare-und-Leistungen/BW-L55</w:t>
        </w:r>
      </w:hyperlink>
    </w:p>
    <w:p w14:paraId="16E9BF56" w14:textId="77777777" w:rsidR="00A175B8" w:rsidRDefault="00A175B8" w:rsidP="00A175B8">
      <w:pPr>
        <w:ind w:left="284" w:right="-434" w:hanging="284"/>
        <w:jc w:val="both"/>
        <w:rPr>
          <w:b/>
          <w:bCs/>
        </w:rPr>
      </w:pPr>
    </w:p>
    <w:p w14:paraId="77B1D3CF" w14:textId="1FD19AFE" w:rsidR="00A175B8" w:rsidRDefault="00A175B8" w:rsidP="00A175B8">
      <w:pPr>
        <w:ind w:left="284" w:right="-434" w:hanging="284"/>
        <w:jc w:val="both"/>
        <w:rPr>
          <w:b/>
          <w:bCs/>
        </w:rPr>
      </w:pPr>
      <w:r w:rsidRPr="004872B0">
        <w:t>Weitere Förderungen, wie  für Nichtwohngebäude usw., auf</w:t>
      </w:r>
      <w:r w:rsidR="004872B0">
        <w:t>:</w:t>
      </w:r>
      <w:r>
        <w:rPr>
          <w:b/>
          <w:bCs/>
        </w:rPr>
        <w:t xml:space="preserve"> </w:t>
      </w:r>
      <w:hyperlink r:id="rId11" w:history="1">
        <w:r w:rsidRPr="00334976">
          <w:rPr>
            <w:rStyle w:val="Hyperlink"/>
          </w:rPr>
          <w:t>www.ktn.gv.at</w:t>
        </w:r>
      </w:hyperlink>
    </w:p>
    <w:p w14:paraId="45CBD186" w14:textId="42B927F2" w:rsidR="004D2C0D" w:rsidRDefault="00334976" w:rsidP="00A175B8">
      <w:pPr>
        <w:ind w:left="284" w:right="-434" w:hanging="284"/>
        <w:jc w:val="both"/>
        <w:rPr>
          <w:b/>
          <w:bCs/>
        </w:rPr>
      </w:pPr>
      <w:r w:rsidRPr="004872B0">
        <w:t>Weitere Informationen zu Förderungen auf betrieblicher Ebene und darüber hinaus:</w:t>
      </w:r>
      <w:r>
        <w:rPr>
          <w:b/>
          <w:bCs/>
        </w:rPr>
        <w:t xml:space="preserve"> </w:t>
      </w:r>
      <w:hyperlink r:id="rId12" w:anchor="fachbereich=BW" w:history="1">
        <w:r w:rsidRPr="00334976">
          <w:rPr>
            <w:rStyle w:val="Hyperlink"/>
          </w:rPr>
          <w:t>https://www.ktn.gv.at/Service/Formulare-und-Leistungen#fachbereich=BW</w:t>
        </w:r>
      </w:hyperlink>
    </w:p>
    <w:p w14:paraId="2F882FFB" w14:textId="77777777" w:rsidR="00334976" w:rsidRDefault="00334976" w:rsidP="00A175B8">
      <w:pPr>
        <w:ind w:left="284" w:right="-434" w:hanging="284"/>
        <w:jc w:val="both"/>
        <w:rPr>
          <w:b/>
          <w:bCs/>
        </w:rPr>
      </w:pPr>
    </w:p>
    <w:sectPr w:rsidR="00334976" w:rsidSect="001C1295">
      <w:footerReference w:type="default" r:id="rId13"/>
      <w:pgSz w:w="11900" w:h="16840"/>
      <w:pgMar w:top="1418" w:right="141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7945E" w14:textId="77777777" w:rsidR="00EC0AA9" w:rsidRDefault="00EC0AA9">
      <w:r>
        <w:separator/>
      </w:r>
    </w:p>
  </w:endnote>
  <w:endnote w:type="continuationSeparator" w:id="0">
    <w:p w14:paraId="08B6250B" w14:textId="77777777" w:rsidR="00EC0AA9" w:rsidRDefault="00EC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9AB9" w14:textId="77777777" w:rsidR="00E84EE7" w:rsidRPr="00A1700C" w:rsidRDefault="00E84EE7">
    <w:pPr>
      <w:pStyle w:val="Fuzeile"/>
      <w:rPr>
        <w:sz w:val="20"/>
      </w:rPr>
    </w:pPr>
    <w:r w:rsidRPr="00A1700C">
      <w:rPr>
        <w:sz w:val="20"/>
      </w:rPr>
      <w:t>Bei der Erstellung der Unterlagen wurde mit größter Sorgfalt gearbeitet. Fehler können jedoch nicht ausgeschlossen werden. Vor einer Investitionsentscheidung kontaktieren Sie bitte die zuständige Förderstelle.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840E" w14:textId="77777777" w:rsidR="00EC0AA9" w:rsidRDefault="00EC0AA9">
      <w:r>
        <w:separator/>
      </w:r>
    </w:p>
  </w:footnote>
  <w:footnote w:type="continuationSeparator" w:id="0">
    <w:p w14:paraId="0DF5D95F" w14:textId="77777777" w:rsidR="00EC0AA9" w:rsidRDefault="00EC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D0D"/>
    <w:multiLevelType w:val="hybridMultilevel"/>
    <w:tmpl w:val="DA6E6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D45D03"/>
    <w:multiLevelType w:val="hybridMultilevel"/>
    <w:tmpl w:val="C2086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620B5"/>
    <w:multiLevelType w:val="hybridMultilevel"/>
    <w:tmpl w:val="0E6A37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81F2C4C"/>
    <w:multiLevelType w:val="hybridMultilevel"/>
    <w:tmpl w:val="269EC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262BCB"/>
    <w:multiLevelType w:val="hybridMultilevel"/>
    <w:tmpl w:val="02942BCA"/>
    <w:lvl w:ilvl="0" w:tplc="B120A36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4849A9"/>
    <w:multiLevelType w:val="hybridMultilevel"/>
    <w:tmpl w:val="6E922F92"/>
    <w:lvl w:ilvl="0" w:tplc="04070001">
      <w:start w:val="1"/>
      <w:numFmt w:val="bullet"/>
      <w:lvlText w:val=""/>
      <w:lvlJc w:val="left"/>
      <w:pPr>
        <w:ind w:left="153" w:hanging="360"/>
      </w:pPr>
      <w:rPr>
        <w:rFonts w:ascii="Symbol" w:hAnsi="Symbol" w:hint="default"/>
      </w:rPr>
    </w:lvl>
    <w:lvl w:ilvl="1" w:tplc="04070003">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6" w15:restartNumberingAfterBreak="0">
    <w:nsid w:val="0D662C45"/>
    <w:multiLevelType w:val="hybridMultilevel"/>
    <w:tmpl w:val="3D845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1A3F1B"/>
    <w:multiLevelType w:val="hybridMultilevel"/>
    <w:tmpl w:val="7FEAC1B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8" w15:restartNumberingAfterBreak="0">
    <w:nsid w:val="14F94B9C"/>
    <w:multiLevelType w:val="hybridMultilevel"/>
    <w:tmpl w:val="A56CA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6732FE"/>
    <w:multiLevelType w:val="hybridMultilevel"/>
    <w:tmpl w:val="D8582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A158F7"/>
    <w:multiLevelType w:val="hybridMultilevel"/>
    <w:tmpl w:val="0ABE782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1" w15:restartNumberingAfterBreak="0">
    <w:nsid w:val="1CB17928"/>
    <w:multiLevelType w:val="hybridMultilevel"/>
    <w:tmpl w:val="1CC2C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533D0F"/>
    <w:multiLevelType w:val="hybridMultilevel"/>
    <w:tmpl w:val="59EC0A6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3" w15:restartNumberingAfterBreak="0">
    <w:nsid w:val="23233278"/>
    <w:multiLevelType w:val="hybridMultilevel"/>
    <w:tmpl w:val="8E4C7782"/>
    <w:lvl w:ilvl="0" w:tplc="4C5CF566">
      <w:start w:val="1"/>
      <w:numFmt w:val="low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4" w15:restartNumberingAfterBreak="0">
    <w:nsid w:val="255D18C5"/>
    <w:multiLevelType w:val="hybridMultilevel"/>
    <w:tmpl w:val="D868C32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15:restartNumberingAfterBreak="0">
    <w:nsid w:val="26D4502E"/>
    <w:multiLevelType w:val="hybridMultilevel"/>
    <w:tmpl w:val="98824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EF0B74"/>
    <w:multiLevelType w:val="hybridMultilevel"/>
    <w:tmpl w:val="099E60DE"/>
    <w:lvl w:ilvl="0" w:tplc="04070001">
      <w:start w:val="1"/>
      <w:numFmt w:val="bullet"/>
      <w:lvlText w:val=""/>
      <w:lvlJc w:val="left"/>
      <w:pPr>
        <w:ind w:left="153" w:hanging="360"/>
      </w:pPr>
      <w:rPr>
        <w:rFonts w:ascii="Symbol" w:hAnsi="Symbol" w:hint="default"/>
      </w:rPr>
    </w:lvl>
    <w:lvl w:ilvl="1" w:tplc="04070003">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7" w15:restartNumberingAfterBreak="0">
    <w:nsid w:val="2CF60ECC"/>
    <w:multiLevelType w:val="hybridMultilevel"/>
    <w:tmpl w:val="B22273A4"/>
    <w:lvl w:ilvl="0" w:tplc="EB4C7914">
      <w:start w:val="30"/>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AFC201E"/>
    <w:multiLevelType w:val="hybridMultilevel"/>
    <w:tmpl w:val="BBECB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17231D"/>
    <w:multiLevelType w:val="hybridMultilevel"/>
    <w:tmpl w:val="B0B0D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E006D0"/>
    <w:multiLevelType w:val="hybridMultilevel"/>
    <w:tmpl w:val="FD3C6E8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1" w15:restartNumberingAfterBreak="0">
    <w:nsid w:val="4B967690"/>
    <w:multiLevelType w:val="multilevel"/>
    <w:tmpl w:val="7EE2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250CF"/>
    <w:multiLevelType w:val="hybridMultilevel"/>
    <w:tmpl w:val="111CDDD6"/>
    <w:lvl w:ilvl="0" w:tplc="1340C86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C47596F"/>
    <w:multiLevelType w:val="hybridMultilevel"/>
    <w:tmpl w:val="92A8C844"/>
    <w:lvl w:ilvl="0" w:tplc="EB4C7914">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5B69ED"/>
    <w:multiLevelType w:val="hybridMultilevel"/>
    <w:tmpl w:val="E5F6B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7A0C36"/>
    <w:multiLevelType w:val="hybridMultilevel"/>
    <w:tmpl w:val="4DA2A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BE4AC8"/>
    <w:multiLevelType w:val="hybridMultilevel"/>
    <w:tmpl w:val="71428C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70F0902"/>
    <w:multiLevelType w:val="hybridMultilevel"/>
    <w:tmpl w:val="DCD6A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6B02F1"/>
    <w:multiLevelType w:val="hybridMultilevel"/>
    <w:tmpl w:val="D4660618"/>
    <w:lvl w:ilvl="0" w:tplc="4C5CF566">
      <w:start w:val="1"/>
      <w:numFmt w:val="low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9" w15:restartNumberingAfterBreak="0">
    <w:nsid w:val="79155EC8"/>
    <w:multiLevelType w:val="hybridMultilevel"/>
    <w:tmpl w:val="BA7A6DCA"/>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0" w15:restartNumberingAfterBreak="0">
    <w:nsid w:val="79DD71BC"/>
    <w:multiLevelType w:val="hybridMultilevel"/>
    <w:tmpl w:val="D6F40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6D3DE6"/>
    <w:multiLevelType w:val="hybridMultilevel"/>
    <w:tmpl w:val="BF4C6D2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21"/>
  </w:num>
  <w:num w:numId="2">
    <w:abstractNumId w:val="12"/>
  </w:num>
  <w:num w:numId="3">
    <w:abstractNumId w:val="28"/>
  </w:num>
  <w:num w:numId="4">
    <w:abstractNumId w:val="31"/>
  </w:num>
  <w:num w:numId="5">
    <w:abstractNumId w:val="13"/>
  </w:num>
  <w:num w:numId="6">
    <w:abstractNumId w:val="15"/>
  </w:num>
  <w:num w:numId="7">
    <w:abstractNumId w:val="19"/>
  </w:num>
  <w:num w:numId="8">
    <w:abstractNumId w:val="9"/>
  </w:num>
  <w:num w:numId="9">
    <w:abstractNumId w:val="6"/>
  </w:num>
  <w:num w:numId="10">
    <w:abstractNumId w:val="5"/>
  </w:num>
  <w:num w:numId="11">
    <w:abstractNumId w:val="20"/>
  </w:num>
  <w:num w:numId="12">
    <w:abstractNumId w:val="10"/>
  </w:num>
  <w:num w:numId="13">
    <w:abstractNumId w:val="16"/>
  </w:num>
  <w:num w:numId="14">
    <w:abstractNumId w:val="7"/>
  </w:num>
  <w:num w:numId="15">
    <w:abstractNumId w:val="14"/>
  </w:num>
  <w:num w:numId="16">
    <w:abstractNumId w:val="29"/>
  </w:num>
  <w:num w:numId="17">
    <w:abstractNumId w:val="30"/>
  </w:num>
  <w:num w:numId="18">
    <w:abstractNumId w:val="4"/>
  </w:num>
  <w:num w:numId="19">
    <w:abstractNumId w:val="1"/>
  </w:num>
  <w:num w:numId="20">
    <w:abstractNumId w:val="18"/>
  </w:num>
  <w:num w:numId="21">
    <w:abstractNumId w:val="11"/>
  </w:num>
  <w:num w:numId="22">
    <w:abstractNumId w:val="0"/>
  </w:num>
  <w:num w:numId="23">
    <w:abstractNumId w:val="24"/>
  </w:num>
  <w:num w:numId="24">
    <w:abstractNumId w:val="23"/>
  </w:num>
  <w:num w:numId="25">
    <w:abstractNumId w:val="17"/>
  </w:num>
  <w:num w:numId="26">
    <w:abstractNumId w:val="2"/>
  </w:num>
  <w:num w:numId="27">
    <w:abstractNumId w:val="27"/>
  </w:num>
  <w:num w:numId="28">
    <w:abstractNumId w:val="3"/>
  </w:num>
  <w:num w:numId="29">
    <w:abstractNumId w:val="25"/>
  </w:num>
  <w:num w:numId="30">
    <w:abstractNumId w:val="22"/>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1D"/>
    <w:rsid w:val="00005DA2"/>
    <w:rsid w:val="000A259E"/>
    <w:rsid w:val="001141A1"/>
    <w:rsid w:val="0012004E"/>
    <w:rsid w:val="0013490A"/>
    <w:rsid w:val="00147B76"/>
    <w:rsid w:val="00153E90"/>
    <w:rsid w:val="00173173"/>
    <w:rsid w:val="001843C9"/>
    <w:rsid w:val="001C1295"/>
    <w:rsid w:val="001C55EF"/>
    <w:rsid w:val="00221D96"/>
    <w:rsid w:val="00223489"/>
    <w:rsid w:val="00241668"/>
    <w:rsid w:val="00260DF5"/>
    <w:rsid w:val="0026230F"/>
    <w:rsid w:val="00286257"/>
    <w:rsid w:val="00286622"/>
    <w:rsid w:val="00286DF7"/>
    <w:rsid w:val="00294F8C"/>
    <w:rsid w:val="0029766C"/>
    <w:rsid w:val="002A469A"/>
    <w:rsid w:val="002D5F49"/>
    <w:rsid w:val="002D7D4C"/>
    <w:rsid w:val="002F65B6"/>
    <w:rsid w:val="0032796A"/>
    <w:rsid w:val="00334785"/>
    <w:rsid w:val="00334976"/>
    <w:rsid w:val="00341576"/>
    <w:rsid w:val="0034384C"/>
    <w:rsid w:val="003728F7"/>
    <w:rsid w:val="003759E0"/>
    <w:rsid w:val="003B383B"/>
    <w:rsid w:val="003D0CB8"/>
    <w:rsid w:val="00414139"/>
    <w:rsid w:val="00427AC9"/>
    <w:rsid w:val="00470687"/>
    <w:rsid w:val="0048630F"/>
    <w:rsid w:val="004872B0"/>
    <w:rsid w:val="004A628C"/>
    <w:rsid w:val="004B661B"/>
    <w:rsid w:val="004C7B8D"/>
    <w:rsid w:val="004D2C0D"/>
    <w:rsid w:val="004F681D"/>
    <w:rsid w:val="00524B56"/>
    <w:rsid w:val="005304C0"/>
    <w:rsid w:val="00555ECB"/>
    <w:rsid w:val="00556BE7"/>
    <w:rsid w:val="00571929"/>
    <w:rsid w:val="005D245E"/>
    <w:rsid w:val="005D3008"/>
    <w:rsid w:val="005F397F"/>
    <w:rsid w:val="00601F27"/>
    <w:rsid w:val="00610410"/>
    <w:rsid w:val="006351EC"/>
    <w:rsid w:val="006446A9"/>
    <w:rsid w:val="00664239"/>
    <w:rsid w:val="00673054"/>
    <w:rsid w:val="00680D57"/>
    <w:rsid w:val="006876E9"/>
    <w:rsid w:val="006A2C83"/>
    <w:rsid w:val="006B6D32"/>
    <w:rsid w:val="006D40EB"/>
    <w:rsid w:val="006D54C9"/>
    <w:rsid w:val="006E27F6"/>
    <w:rsid w:val="007206E0"/>
    <w:rsid w:val="00723421"/>
    <w:rsid w:val="00753B28"/>
    <w:rsid w:val="00754D31"/>
    <w:rsid w:val="00762DD7"/>
    <w:rsid w:val="007A3170"/>
    <w:rsid w:val="00801FB5"/>
    <w:rsid w:val="00805BDA"/>
    <w:rsid w:val="00807ABC"/>
    <w:rsid w:val="0085064A"/>
    <w:rsid w:val="0086127B"/>
    <w:rsid w:val="00871819"/>
    <w:rsid w:val="008816FC"/>
    <w:rsid w:val="008B4810"/>
    <w:rsid w:val="008D55C8"/>
    <w:rsid w:val="008D7134"/>
    <w:rsid w:val="00950233"/>
    <w:rsid w:val="009E24D7"/>
    <w:rsid w:val="009F3863"/>
    <w:rsid w:val="00A153F0"/>
    <w:rsid w:val="00A16939"/>
    <w:rsid w:val="00A1700C"/>
    <w:rsid w:val="00A175B8"/>
    <w:rsid w:val="00A301D8"/>
    <w:rsid w:val="00A5279F"/>
    <w:rsid w:val="00A616C7"/>
    <w:rsid w:val="00A73D70"/>
    <w:rsid w:val="00AA4B85"/>
    <w:rsid w:val="00AA7837"/>
    <w:rsid w:val="00AB69D4"/>
    <w:rsid w:val="00AE30B6"/>
    <w:rsid w:val="00AF44E8"/>
    <w:rsid w:val="00B20FEA"/>
    <w:rsid w:val="00B36D0E"/>
    <w:rsid w:val="00B6731B"/>
    <w:rsid w:val="00B70F45"/>
    <w:rsid w:val="00B75ABA"/>
    <w:rsid w:val="00B94DC6"/>
    <w:rsid w:val="00BF7A05"/>
    <w:rsid w:val="00C00845"/>
    <w:rsid w:val="00C022FE"/>
    <w:rsid w:val="00C104C2"/>
    <w:rsid w:val="00C14FAD"/>
    <w:rsid w:val="00C47C26"/>
    <w:rsid w:val="00C8290E"/>
    <w:rsid w:val="00CB73C4"/>
    <w:rsid w:val="00CC373B"/>
    <w:rsid w:val="00CD597E"/>
    <w:rsid w:val="00CE375C"/>
    <w:rsid w:val="00CF535F"/>
    <w:rsid w:val="00CF7774"/>
    <w:rsid w:val="00DC5843"/>
    <w:rsid w:val="00DE5051"/>
    <w:rsid w:val="00DF78ED"/>
    <w:rsid w:val="00E028F3"/>
    <w:rsid w:val="00E14053"/>
    <w:rsid w:val="00E3268B"/>
    <w:rsid w:val="00E34107"/>
    <w:rsid w:val="00E73AEA"/>
    <w:rsid w:val="00E747FC"/>
    <w:rsid w:val="00E74F9C"/>
    <w:rsid w:val="00E84EE7"/>
    <w:rsid w:val="00E9769A"/>
    <w:rsid w:val="00E977C1"/>
    <w:rsid w:val="00EA661C"/>
    <w:rsid w:val="00EC0AA9"/>
    <w:rsid w:val="00EF4159"/>
    <w:rsid w:val="00F075D2"/>
    <w:rsid w:val="00F2601F"/>
    <w:rsid w:val="00F84FD1"/>
    <w:rsid w:val="00F8779B"/>
    <w:rsid w:val="00FA5BCE"/>
    <w:rsid w:val="00FC36B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B9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34976"/>
    <w:rPr>
      <w:rFonts w:ascii="Times New Roman" w:eastAsia="Times New Roman" w:hAnsi="Times New Roman" w:cs="Times New Roman"/>
    </w:rPr>
  </w:style>
  <w:style w:type="paragraph" w:styleId="berschrift1">
    <w:name w:val="heading 1"/>
    <w:basedOn w:val="Standard"/>
    <w:next w:val="Standard"/>
    <w:link w:val="berschrift1Zchn"/>
    <w:autoRedefine/>
    <w:uiPriority w:val="9"/>
    <w:qFormat/>
    <w:rsid w:val="00221D96"/>
    <w:pPr>
      <w:keepNext/>
      <w:keepLines/>
      <w:spacing w:before="240"/>
      <w:ind w:left="-567" w:right="-434"/>
      <w:jc w:val="both"/>
      <w:outlineLvl w:val="0"/>
    </w:pPr>
    <w:rPr>
      <w:rFonts w:ascii="Times" w:hAnsi="Times"/>
      <w:b/>
      <w:bCs/>
      <w:sz w:val="28"/>
      <w:szCs w:val="28"/>
    </w:rPr>
  </w:style>
  <w:style w:type="paragraph" w:styleId="berschrift2">
    <w:name w:val="heading 2"/>
    <w:basedOn w:val="Standard"/>
    <w:link w:val="berschrift2Zchn"/>
    <w:uiPriority w:val="9"/>
    <w:qFormat/>
    <w:rsid w:val="004F681D"/>
    <w:pPr>
      <w:spacing w:before="100" w:beforeAutospacing="1" w:after="100" w:afterAutospacing="1"/>
      <w:outlineLvl w:val="1"/>
    </w:pPr>
    <w:rPr>
      <w:rFonts w:ascii="Times" w:eastAsiaTheme="minorEastAsia" w:hAnsi="Times" w:cstheme="minorBidi"/>
      <w:b/>
      <w:bCs/>
      <w:sz w:val="36"/>
      <w:szCs w:val="36"/>
    </w:rPr>
  </w:style>
  <w:style w:type="paragraph" w:styleId="berschrift3">
    <w:name w:val="heading 3"/>
    <w:basedOn w:val="Standard"/>
    <w:next w:val="Standard"/>
    <w:link w:val="berschrift3Zchn"/>
    <w:uiPriority w:val="9"/>
    <w:unhideWhenUsed/>
    <w:qFormat/>
    <w:rsid w:val="0085064A"/>
    <w:pPr>
      <w:keepNext/>
      <w:keepLines/>
      <w:spacing w:before="200"/>
      <w:ind w:left="-567"/>
      <w:outlineLvl w:val="2"/>
    </w:pPr>
    <w:rPr>
      <w:rFonts w:ascii="Times" w:eastAsiaTheme="majorEastAsia" w:hAnsi="Times" w:cstheme="majorBidi"/>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6127B"/>
    <w:pPr>
      <w:pBdr>
        <w:bottom w:val="single" w:sz="8" w:space="4" w:color="4F81BD" w:themeColor="accent1"/>
      </w:pBdr>
      <w:spacing w:after="300"/>
      <w:ind w:left="-567" w:right="-434"/>
      <w:contextualSpacing/>
    </w:pPr>
    <w:rPr>
      <w:rFonts w:ascii="Times" w:eastAsiaTheme="majorEastAsia" w:hAnsi="Times" w:cstheme="majorBidi"/>
      <w:spacing w:val="5"/>
      <w:kern w:val="28"/>
      <w:sz w:val="44"/>
      <w:szCs w:val="52"/>
    </w:rPr>
  </w:style>
  <w:style w:type="character" w:customStyle="1" w:styleId="TitelZchn">
    <w:name w:val="Titel Zchn"/>
    <w:basedOn w:val="Absatz-Standardschriftart"/>
    <w:link w:val="Titel"/>
    <w:uiPriority w:val="10"/>
    <w:rsid w:val="0086127B"/>
    <w:rPr>
      <w:rFonts w:ascii="Times" w:eastAsiaTheme="majorEastAsia" w:hAnsi="Times" w:cstheme="majorBidi"/>
      <w:spacing w:val="5"/>
      <w:kern w:val="28"/>
      <w:sz w:val="44"/>
      <w:szCs w:val="52"/>
    </w:rPr>
  </w:style>
  <w:style w:type="character" w:customStyle="1" w:styleId="berschrift2Zchn">
    <w:name w:val="Überschrift 2 Zchn"/>
    <w:basedOn w:val="Absatz-Standardschriftart"/>
    <w:link w:val="berschrift2"/>
    <w:uiPriority w:val="9"/>
    <w:rsid w:val="004F681D"/>
    <w:rPr>
      <w:rFonts w:ascii="Times" w:hAnsi="Times"/>
      <w:b/>
      <w:bCs/>
      <w:sz w:val="36"/>
      <w:szCs w:val="36"/>
    </w:rPr>
  </w:style>
  <w:style w:type="paragraph" w:customStyle="1" w:styleId="bde-stx-wrapper">
    <w:name w:val="bde-stx-wrapper"/>
    <w:basedOn w:val="Standard"/>
    <w:rsid w:val="004F681D"/>
    <w:pPr>
      <w:spacing w:before="100" w:beforeAutospacing="1" w:after="100" w:afterAutospacing="1"/>
    </w:pPr>
    <w:rPr>
      <w:rFonts w:ascii="Times" w:eastAsiaTheme="minorEastAsia" w:hAnsi="Times" w:cstheme="minorBidi"/>
      <w:sz w:val="20"/>
      <w:szCs w:val="20"/>
    </w:rPr>
  </w:style>
  <w:style w:type="character" w:styleId="Fett">
    <w:name w:val="Strong"/>
    <w:basedOn w:val="Absatz-Standardschriftart"/>
    <w:uiPriority w:val="22"/>
    <w:qFormat/>
    <w:rsid w:val="004F681D"/>
    <w:rPr>
      <w:b/>
      <w:bCs/>
    </w:rPr>
  </w:style>
  <w:style w:type="character" w:styleId="Hyperlink">
    <w:name w:val="Hyperlink"/>
    <w:basedOn w:val="Absatz-Standardschriftart"/>
    <w:uiPriority w:val="99"/>
    <w:unhideWhenUsed/>
    <w:rsid w:val="004F681D"/>
    <w:rPr>
      <w:color w:val="0000FF"/>
      <w:u w:val="single"/>
    </w:rPr>
  </w:style>
  <w:style w:type="character" w:customStyle="1" w:styleId="berschrift1Zchn">
    <w:name w:val="Überschrift 1 Zchn"/>
    <w:basedOn w:val="Absatz-Standardschriftart"/>
    <w:link w:val="berschrift1"/>
    <w:uiPriority w:val="9"/>
    <w:rsid w:val="00221D96"/>
    <w:rPr>
      <w:rFonts w:ascii="Times" w:eastAsia="Times New Roman" w:hAnsi="Times" w:cs="Times New Roman"/>
      <w:b/>
      <w:bCs/>
      <w:sz w:val="28"/>
      <w:szCs w:val="28"/>
    </w:rPr>
  </w:style>
  <w:style w:type="paragraph" w:styleId="Listenabsatz">
    <w:name w:val="List Paragraph"/>
    <w:basedOn w:val="Standard"/>
    <w:uiPriority w:val="72"/>
    <w:qFormat/>
    <w:rsid w:val="004C7B8D"/>
    <w:pPr>
      <w:ind w:left="720"/>
      <w:contextualSpacing/>
    </w:pPr>
    <w:rPr>
      <w:rFonts w:ascii="Times" w:eastAsiaTheme="minorEastAsia" w:hAnsi="Times" w:cstheme="minorBidi"/>
      <w:sz w:val="22"/>
    </w:rPr>
  </w:style>
  <w:style w:type="character" w:customStyle="1" w:styleId="berschrift3Zchn">
    <w:name w:val="Überschrift 3 Zchn"/>
    <w:basedOn w:val="Absatz-Standardschriftart"/>
    <w:link w:val="berschrift3"/>
    <w:uiPriority w:val="9"/>
    <w:rsid w:val="0085064A"/>
    <w:rPr>
      <w:rFonts w:ascii="Times" w:eastAsiaTheme="majorEastAsia" w:hAnsi="Times" w:cstheme="majorBidi"/>
      <w:b/>
      <w:bCs/>
      <w:sz w:val="22"/>
    </w:rPr>
  </w:style>
  <w:style w:type="paragraph" w:styleId="StandardWeb">
    <w:name w:val="Normal (Web)"/>
    <w:basedOn w:val="Standard"/>
    <w:uiPriority w:val="99"/>
    <w:semiHidden/>
    <w:unhideWhenUsed/>
    <w:rsid w:val="004B661B"/>
    <w:pPr>
      <w:spacing w:before="100" w:beforeAutospacing="1" w:after="100" w:afterAutospacing="1"/>
    </w:pPr>
    <w:rPr>
      <w:sz w:val="20"/>
      <w:szCs w:val="20"/>
    </w:rPr>
  </w:style>
  <w:style w:type="character" w:styleId="BesuchterLink">
    <w:name w:val="FollowedHyperlink"/>
    <w:basedOn w:val="Absatz-Standardschriftart"/>
    <w:uiPriority w:val="99"/>
    <w:semiHidden/>
    <w:unhideWhenUsed/>
    <w:rsid w:val="00F84FD1"/>
    <w:rPr>
      <w:color w:val="800080" w:themeColor="followedHyperlink"/>
      <w:u w:val="single"/>
    </w:rPr>
  </w:style>
  <w:style w:type="paragraph" w:styleId="Kopfzeile">
    <w:name w:val="header"/>
    <w:basedOn w:val="Standard"/>
    <w:link w:val="KopfzeileZchn"/>
    <w:uiPriority w:val="99"/>
    <w:semiHidden/>
    <w:unhideWhenUsed/>
    <w:rsid w:val="00B70F45"/>
    <w:pPr>
      <w:tabs>
        <w:tab w:val="center" w:pos="4536"/>
        <w:tab w:val="right" w:pos="9072"/>
      </w:tabs>
    </w:pPr>
    <w:rPr>
      <w:rFonts w:ascii="Times" w:eastAsiaTheme="minorEastAsia" w:hAnsi="Times" w:cstheme="minorBidi"/>
      <w:sz w:val="22"/>
    </w:rPr>
  </w:style>
  <w:style w:type="character" w:customStyle="1" w:styleId="KopfzeileZchn">
    <w:name w:val="Kopfzeile Zchn"/>
    <w:basedOn w:val="Absatz-Standardschriftart"/>
    <w:link w:val="Kopfzeile"/>
    <w:uiPriority w:val="99"/>
    <w:semiHidden/>
    <w:rsid w:val="00B70F45"/>
    <w:rPr>
      <w:rFonts w:ascii="Times" w:hAnsi="Times"/>
      <w:sz w:val="22"/>
    </w:rPr>
  </w:style>
  <w:style w:type="paragraph" w:styleId="Fuzeile">
    <w:name w:val="footer"/>
    <w:basedOn w:val="Standard"/>
    <w:link w:val="FuzeileZchn"/>
    <w:uiPriority w:val="99"/>
    <w:unhideWhenUsed/>
    <w:rsid w:val="00B70F45"/>
    <w:pPr>
      <w:tabs>
        <w:tab w:val="center" w:pos="4536"/>
        <w:tab w:val="right" w:pos="9072"/>
      </w:tabs>
    </w:pPr>
    <w:rPr>
      <w:rFonts w:ascii="Times" w:eastAsiaTheme="minorEastAsia" w:hAnsi="Times" w:cstheme="minorBidi"/>
      <w:sz w:val="22"/>
    </w:rPr>
  </w:style>
  <w:style w:type="character" w:customStyle="1" w:styleId="FuzeileZchn">
    <w:name w:val="Fußzeile Zchn"/>
    <w:basedOn w:val="Absatz-Standardschriftart"/>
    <w:link w:val="Fuzeile"/>
    <w:uiPriority w:val="99"/>
    <w:rsid w:val="00B70F45"/>
    <w:rPr>
      <w:rFonts w:ascii="Times" w:hAnsi="Times"/>
      <w:sz w:val="22"/>
    </w:rPr>
  </w:style>
  <w:style w:type="paragraph" w:styleId="Sprechblasentext">
    <w:name w:val="Balloon Text"/>
    <w:basedOn w:val="Standard"/>
    <w:link w:val="SprechblasentextZchn"/>
    <w:uiPriority w:val="99"/>
    <w:semiHidden/>
    <w:unhideWhenUsed/>
    <w:rsid w:val="00555EC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55ECB"/>
    <w:rPr>
      <w:rFonts w:ascii="Lucida Grande" w:hAnsi="Lucida Grande"/>
      <w:sz w:val="18"/>
      <w:szCs w:val="18"/>
    </w:rPr>
  </w:style>
  <w:style w:type="paragraph" w:customStyle="1" w:styleId="Default">
    <w:name w:val="Default"/>
    <w:rsid w:val="00762DD7"/>
    <w:pPr>
      <w:autoSpaceDE w:val="0"/>
      <w:autoSpaceDN w:val="0"/>
      <w:adjustRightInd w:val="0"/>
    </w:pPr>
    <w:rPr>
      <w:rFonts w:ascii="Verdana" w:hAnsi="Verdana" w:cs="Verdana"/>
      <w:color w:val="000000"/>
    </w:rPr>
  </w:style>
  <w:style w:type="character" w:styleId="NichtaufgelsteErwhnung">
    <w:name w:val="Unresolved Mention"/>
    <w:basedOn w:val="Absatz-Standardschriftart"/>
    <w:uiPriority w:val="99"/>
    <w:rsid w:val="006876E9"/>
    <w:rPr>
      <w:color w:val="808080"/>
      <w:shd w:val="clear" w:color="auto" w:fill="E6E6E6"/>
    </w:rPr>
  </w:style>
  <w:style w:type="table" w:styleId="HelleListe-Akzent3">
    <w:name w:val="Light List Accent 3"/>
    <w:basedOn w:val="NormaleTabelle"/>
    <w:uiPriority w:val="61"/>
    <w:rsid w:val="00C14FA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6">
    <w:name w:val="Light List Accent 6"/>
    <w:basedOn w:val="NormaleTabelle"/>
    <w:uiPriority w:val="61"/>
    <w:rsid w:val="00C14FA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Liste-Akzent2">
    <w:name w:val="Light List Accent 2"/>
    <w:basedOn w:val="NormaleTabelle"/>
    <w:uiPriority w:val="61"/>
    <w:rsid w:val="00C14FA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ntabelle3Akzent4">
    <w:name w:val="List Table 3 Accent 4"/>
    <w:basedOn w:val="NormaleTabelle"/>
    <w:uiPriority w:val="48"/>
    <w:rsid w:val="00C14FA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C8290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3799">
      <w:bodyDiv w:val="1"/>
      <w:marLeft w:val="0"/>
      <w:marRight w:val="0"/>
      <w:marTop w:val="0"/>
      <w:marBottom w:val="0"/>
      <w:divBdr>
        <w:top w:val="none" w:sz="0" w:space="0" w:color="auto"/>
        <w:left w:val="none" w:sz="0" w:space="0" w:color="auto"/>
        <w:bottom w:val="none" w:sz="0" w:space="0" w:color="auto"/>
        <w:right w:val="none" w:sz="0" w:space="0" w:color="auto"/>
      </w:divBdr>
    </w:div>
    <w:div w:id="846362626">
      <w:bodyDiv w:val="1"/>
      <w:marLeft w:val="0"/>
      <w:marRight w:val="0"/>
      <w:marTop w:val="0"/>
      <w:marBottom w:val="0"/>
      <w:divBdr>
        <w:top w:val="none" w:sz="0" w:space="0" w:color="auto"/>
        <w:left w:val="none" w:sz="0" w:space="0" w:color="auto"/>
        <w:bottom w:val="none" w:sz="0" w:space="0" w:color="auto"/>
        <w:right w:val="none" w:sz="0" w:space="0" w:color="auto"/>
      </w:divBdr>
      <w:divsChild>
        <w:div w:id="1116947702">
          <w:marLeft w:val="0"/>
          <w:marRight w:val="0"/>
          <w:marTop w:val="0"/>
          <w:marBottom w:val="0"/>
          <w:divBdr>
            <w:top w:val="none" w:sz="0" w:space="0" w:color="auto"/>
            <w:left w:val="none" w:sz="0" w:space="0" w:color="auto"/>
            <w:bottom w:val="none" w:sz="0" w:space="0" w:color="auto"/>
            <w:right w:val="none" w:sz="0" w:space="0" w:color="auto"/>
          </w:divBdr>
        </w:div>
      </w:divsChild>
    </w:div>
    <w:div w:id="913703300">
      <w:bodyDiv w:val="1"/>
      <w:marLeft w:val="0"/>
      <w:marRight w:val="0"/>
      <w:marTop w:val="0"/>
      <w:marBottom w:val="0"/>
      <w:divBdr>
        <w:top w:val="none" w:sz="0" w:space="0" w:color="auto"/>
        <w:left w:val="none" w:sz="0" w:space="0" w:color="auto"/>
        <w:bottom w:val="none" w:sz="0" w:space="0" w:color="auto"/>
        <w:right w:val="none" w:sz="0" w:space="0" w:color="auto"/>
      </w:divBdr>
    </w:div>
    <w:div w:id="1491601186">
      <w:bodyDiv w:val="1"/>
      <w:marLeft w:val="0"/>
      <w:marRight w:val="0"/>
      <w:marTop w:val="0"/>
      <w:marBottom w:val="0"/>
      <w:divBdr>
        <w:top w:val="none" w:sz="0" w:space="0" w:color="auto"/>
        <w:left w:val="none" w:sz="0" w:space="0" w:color="auto"/>
        <w:bottom w:val="none" w:sz="0" w:space="0" w:color="auto"/>
        <w:right w:val="none" w:sz="0" w:space="0" w:color="auto"/>
      </w:divBdr>
      <w:divsChild>
        <w:div w:id="1313371924">
          <w:marLeft w:val="0"/>
          <w:marRight w:val="0"/>
          <w:marTop w:val="0"/>
          <w:marBottom w:val="0"/>
          <w:divBdr>
            <w:top w:val="none" w:sz="0" w:space="0" w:color="auto"/>
            <w:left w:val="none" w:sz="0" w:space="0" w:color="auto"/>
            <w:bottom w:val="none" w:sz="0" w:space="0" w:color="auto"/>
            <w:right w:val="none" w:sz="0" w:space="0" w:color="auto"/>
          </w:divBdr>
          <w:divsChild>
            <w:div w:id="5971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7379">
      <w:bodyDiv w:val="1"/>
      <w:marLeft w:val="0"/>
      <w:marRight w:val="0"/>
      <w:marTop w:val="0"/>
      <w:marBottom w:val="0"/>
      <w:divBdr>
        <w:top w:val="none" w:sz="0" w:space="0" w:color="auto"/>
        <w:left w:val="none" w:sz="0" w:space="0" w:color="auto"/>
        <w:bottom w:val="none" w:sz="0" w:space="0" w:color="auto"/>
        <w:right w:val="none" w:sz="0" w:space="0" w:color="auto"/>
      </w:divBdr>
    </w:div>
    <w:div w:id="1741637203">
      <w:bodyDiv w:val="1"/>
      <w:marLeft w:val="0"/>
      <w:marRight w:val="0"/>
      <w:marTop w:val="0"/>
      <w:marBottom w:val="0"/>
      <w:divBdr>
        <w:top w:val="none" w:sz="0" w:space="0" w:color="auto"/>
        <w:left w:val="none" w:sz="0" w:space="0" w:color="auto"/>
        <w:bottom w:val="none" w:sz="0" w:space="0" w:color="auto"/>
        <w:right w:val="none" w:sz="0" w:space="0" w:color="auto"/>
      </w:divBdr>
    </w:div>
    <w:div w:id="1794976851">
      <w:bodyDiv w:val="1"/>
      <w:marLeft w:val="0"/>
      <w:marRight w:val="0"/>
      <w:marTop w:val="0"/>
      <w:marBottom w:val="0"/>
      <w:divBdr>
        <w:top w:val="none" w:sz="0" w:space="0" w:color="auto"/>
        <w:left w:val="none" w:sz="0" w:space="0" w:color="auto"/>
        <w:bottom w:val="none" w:sz="0" w:space="0" w:color="auto"/>
        <w:right w:val="none" w:sz="0" w:space="0" w:color="auto"/>
      </w:divBdr>
    </w:div>
    <w:div w:id="1881286966">
      <w:bodyDiv w:val="1"/>
      <w:marLeft w:val="0"/>
      <w:marRight w:val="0"/>
      <w:marTop w:val="0"/>
      <w:marBottom w:val="0"/>
      <w:divBdr>
        <w:top w:val="none" w:sz="0" w:space="0" w:color="auto"/>
        <w:left w:val="none" w:sz="0" w:space="0" w:color="auto"/>
        <w:bottom w:val="none" w:sz="0" w:space="0" w:color="auto"/>
        <w:right w:val="none" w:sz="0" w:space="0" w:color="auto"/>
      </w:divBdr>
    </w:div>
    <w:div w:id="2014143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tn.gv.at/Service/Formulare-und-Leistu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tn.gv.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tn.gv.at/Service/Formulare-und-Leistungen/BW-L5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96D3-5415-7348-B621-D0AADF75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öbmv</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Wallner</dc:creator>
  <cp:keywords/>
  <dc:description/>
  <cp:lastModifiedBy>Chris Rosenberger</cp:lastModifiedBy>
  <cp:revision>7</cp:revision>
  <cp:lastPrinted>2019-03-05T09:09:00Z</cp:lastPrinted>
  <dcterms:created xsi:type="dcterms:W3CDTF">2019-03-05T09:09:00Z</dcterms:created>
  <dcterms:modified xsi:type="dcterms:W3CDTF">2020-03-03T09:50:00Z</dcterms:modified>
</cp:coreProperties>
</file>