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03D03" w14:textId="77777777" w:rsidR="004335FF" w:rsidRDefault="004335FF" w:rsidP="004335FF"/>
    <w:p w14:paraId="69F13EC8" w14:textId="77777777" w:rsidR="004335FF" w:rsidRDefault="004335FF" w:rsidP="004335FF">
      <w:pPr>
        <w:ind w:hanging="567"/>
        <w:rPr>
          <w:sz w:val="20"/>
        </w:rPr>
      </w:pPr>
      <w:r>
        <w:rPr>
          <w:noProof/>
          <w:lang w:eastAsia="de-DE"/>
        </w:rPr>
        <w:drawing>
          <wp:anchor distT="0" distB="0" distL="114300" distR="114300" simplePos="0" relativeHeight="251659264" behindDoc="0" locked="0" layoutInCell="1" allowOverlap="1" wp14:anchorId="30192A6F" wp14:editId="507DA908">
            <wp:simplePos x="0" y="0"/>
            <wp:positionH relativeFrom="column">
              <wp:posOffset>-455295</wp:posOffset>
            </wp:positionH>
            <wp:positionV relativeFrom="paragraph">
              <wp:posOffset>502136</wp:posOffset>
            </wp:positionV>
            <wp:extent cx="6629400" cy="125095"/>
            <wp:effectExtent l="25400" t="0" r="0" b="0"/>
            <wp:wrapNone/>
            <wp:docPr id="3" name="Bild 0" descr="Linie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gruen.jpg"/>
                    <pic:cNvPicPr/>
                  </pic:nvPicPr>
                  <pic:blipFill>
                    <a:blip r:embed="rId7"/>
                    <a:stretch>
                      <a:fillRect/>
                    </a:stretch>
                  </pic:blipFill>
                  <pic:spPr>
                    <a:xfrm>
                      <a:off x="0" y="0"/>
                      <a:ext cx="6629400" cy="125095"/>
                    </a:xfrm>
                    <a:prstGeom prst="rect">
                      <a:avLst/>
                    </a:prstGeom>
                  </pic:spPr>
                </pic:pic>
              </a:graphicData>
            </a:graphic>
          </wp:anchor>
        </w:drawing>
      </w:r>
      <w:r>
        <w:t>L</w:t>
      </w:r>
      <w:r w:rsidRPr="0078050C">
        <w:t>andesförderung</w:t>
      </w:r>
      <w:r>
        <w:t xml:space="preserve"> 20</w:t>
      </w:r>
      <w:r w:rsidR="00221C83">
        <w:t>20</w:t>
      </w:r>
      <w:r w:rsidRPr="0078050C">
        <w:t xml:space="preserve"> Holzheizsysteme </w:t>
      </w:r>
      <w:r>
        <w:t>+ Sonne</w:t>
      </w:r>
    </w:p>
    <w:tbl>
      <w:tblPr>
        <w:tblStyle w:val="Tabellenraster"/>
        <w:tblpPr w:leftFromText="141" w:rightFromText="141" w:vertAnchor="page" w:horzAnchor="page" w:tblpX="910" w:tblpY="5045"/>
        <w:tblW w:w="10314" w:type="dxa"/>
        <w:tblLook w:val="00A0" w:firstRow="1" w:lastRow="0" w:firstColumn="1" w:lastColumn="0" w:noHBand="0" w:noVBand="0"/>
      </w:tblPr>
      <w:tblGrid>
        <w:gridCol w:w="1966"/>
        <w:gridCol w:w="8348"/>
      </w:tblGrid>
      <w:tr w:rsidR="004335FF" w:rsidRPr="00386186" w14:paraId="2CE07E3A" w14:textId="77777777" w:rsidTr="00870555">
        <w:trPr>
          <w:trHeight w:val="274"/>
        </w:trPr>
        <w:tc>
          <w:tcPr>
            <w:tcW w:w="1965" w:type="dxa"/>
            <w:tcBorders>
              <w:top w:val="nil"/>
              <w:left w:val="nil"/>
              <w:right w:val="nil"/>
            </w:tcBorders>
          </w:tcPr>
          <w:p w14:paraId="67025C51" w14:textId="77777777" w:rsidR="004335FF" w:rsidRDefault="004335FF" w:rsidP="00870555">
            <w:pPr>
              <w:ind w:right="173"/>
              <w:rPr>
                <w:rFonts w:ascii="Times" w:hAnsi="Times"/>
                <w:b/>
                <w:sz w:val="28"/>
              </w:rPr>
            </w:pPr>
            <w:r w:rsidRPr="00386186">
              <w:rPr>
                <w:rFonts w:ascii="Times" w:hAnsi="Times"/>
                <w:b/>
                <w:sz w:val="28"/>
              </w:rPr>
              <w:t>Bundesland</w:t>
            </w:r>
          </w:p>
          <w:p w14:paraId="609C76AD" w14:textId="77777777" w:rsidR="004335FF" w:rsidRPr="00386186" w:rsidRDefault="004335FF" w:rsidP="00870555">
            <w:pPr>
              <w:ind w:right="173"/>
              <w:rPr>
                <w:rFonts w:ascii="Times" w:hAnsi="Times"/>
                <w:b/>
                <w:sz w:val="28"/>
              </w:rPr>
            </w:pPr>
          </w:p>
        </w:tc>
        <w:tc>
          <w:tcPr>
            <w:tcW w:w="8349" w:type="dxa"/>
            <w:tcBorders>
              <w:top w:val="nil"/>
              <w:left w:val="nil"/>
              <w:right w:val="nil"/>
            </w:tcBorders>
          </w:tcPr>
          <w:p w14:paraId="6D81B039" w14:textId="77777777" w:rsidR="004335FF" w:rsidRPr="000D42EC" w:rsidRDefault="004335FF" w:rsidP="00870555">
            <w:pPr>
              <w:ind w:right="173"/>
              <w:rPr>
                <w:rFonts w:ascii="Times" w:hAnsi="Times"/>
                <w:b/>
                <w:sz w:val="28"/>
              </w:rPr>
            </w:pPr>
            <w:r w:rsidRPr="00386186">
              <w:rPr>
                <w:rFonts w:ascii="Times" w:hAnsi="Times"/>
                <w:b/>
                <w:sz w:val="28"/>
              </w:rPr>
              <w:t>Fördermöglichkeiten</w:t>
            </w:r>
          </w:p>
          <w:p w14:paraId="235271B2" w14:textId="77777777" w:rsidR="004335FF" w:rsidRPr="00386186" w:rsidRDefault="004335FF" w:rsidP="00870555">
            <w:pPr>
              <w:ind w:right="173"/>
              <w:rPr>
                <w:rFonts w:ascii="Times" w:hAnsi="Times"/>
                <w:b/>
                <w:sz w:val="28"/>
              </w:rPr>
            </w:pPr>
          </w:p>
        </w:tc>
      </w:tr>
      <w:tr w:rsidR="004335FF" w:rsidRPr="00764B9A" w14:paraId="0D36B539" w14:textId="77777777" w:rsidTr="00870555">
        <w:tc>
          <w:tcPr>
            <w:tcW w:w="1965" w:type="dxa"/>
          </w:tcPr>
          <w:p w14:paraId="3B573244" w14:textId="77777777" w:rsidR="004335FF" w:rsidRPr="00B36417" w:rsidRDefault="004335FF" w:rsidP="00870555">
            <w:pPr>
              <w:ind w:right="173"/>
              <w:rPr>
                <w:rFonts w:ascii="Times" w:hAnsi="Times"/>
                <w:b/>
                <w:sz w:val="22"/>
              </w:rPr>
            </w:pPr>
            <w:r>
              <w:rPr>
                <w:rFonts w:ascii="Times" w:hAnsi="Times"/>
                <w:b/>
                <w:sz w:val="22"/>
              </w:rPr>
              <w:t>Bund</w:t>
            </w:r>
            <w:r w:rsidRPr="00AD6832">
              <w:rPr>
                <w:rFonts w:ascii="Times" w:hAnsi="Times"/>
                <w:sz w:val="22"/>
                <w:szCs w:val="22"/>
              </w:rPr>
              <w:t xml:space="preserve"> </w:t>
            </w:r>
            <w:r w:rsidRPr="00AD6832">
              <w:rPr>
                <w:rFonts w:ascii="Times" w:hAnsi="Times"/>
                <w:noProof/>
                <w:sz w:val="22"/>
                <w:szCs w:val="22"/>
              </w:rPr>
              <w:drawing>
                <wp:inline distT="0" distB="0" distL="0" distR="0" wp14:anchorId="7FCA8765" wp14:editId="17B938B0">
                  <wp:extent cx="809047" cy="564204"/>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8623" cy="570882"/>
                          </a:xfrm>
                          <a:prstGeom prst="rect">
                            <a:avLst/>
                          </a:prstGeom>
                        </pic:spPr>
                      </pic:pic>
                    </a:graphicData>
                  </a:graphic>
                </wp:inline>
              </w:drawing>
            </w:r>
          </w:p>
        </w:tc>
        <w:tc>
          <w:tcPr>
            <w:tcW w:w="8349" w:type="dxa"/>
          </w:tcPr>
          <w:p w14:paraId="1B302137" w14:textId="5B6A7DB1" w:rsidR="00F93DE0" w:rsidRPr="00F93DE0" w:rsidRDefault="00F93DE0" w:rsidP="00F93DE0">
            <w:pPr>
              <w:ind w:right="173"/>
              <w:rPr>
                <w:rFonts w:ascii="Times" w:hAnsi="Times"/>
                <w:sz w:val="22"/>
              </w:rPr>
            </w:pPr>
            <w:r w:rsidRPr="00F93DE0">
              <w:rPr>
                <w:rFonts w:ascii="Times" w:hAnsi="Times"/>
                <w:sz w:val="22"/>
              </w:rPr>
              <w:t>Der „Raus aus dem Öl“-Bonus des Bundesministeriums für Klimaschutz, Umwelt, Energie, Mobilität, Innovation und Technologie</w:t>
            </w:r>
            <w:r w:rsidR="00637F3C">
              <w:rPr>
                <w:rFonts w:ascii="Times" w:hAnsi="Times"/>
                <w:sz w:val="22"/>
              </w:rPr>
              <w:t xml:space="preserve"> wird fortg</w:t>
            </w:r>
            <w:r w:rsidR="00495425">
              <w:rPr>
                <w:rFonts w:ascii="Times" w:hAnsi="Times"/>
                <w:sz w:val="22"/>
              </w:rPr>
              <w:t>e</w:t>
            </w:r>
            <w:bookmarkStart w:id="0" w:name="_GoBack"/>
            <w:bookmarkEnd w:id="0"/>
            <w:r w:rsidR="00637F3C">
              <w:rPr>
                <w:rFonts w:ascii="Times" w:hAnsi="Times"/>
                <w:sz w:val="22"/>
              </w:rPr>
              <w:t>führt</w:t>
            </w:r>
            <w:r w:rsidRPr="00F93DE0">
              <w:rPr>
                <w:rFonts w:ascii="Times" w:hAnsi="Times"/>
                <w:sz w:val="22"/>
              </w:rPr>
              <w:t xml:space="preserve">. </w:t>
            </w:r>
            <w:r w:rsidRPr="00F93DE0">
              <w:rPr>
                <w:rFonts w:ascii="Times" w:hAnsi="Times"/>
                <w:b/>
                <w:bCs/>
                <w:sz w:val="22"/>
              </w:rPr>
              <w:t>100 Mio. Euro</w:t>
            </w:r>
            <w:r w:rsidRPr="00F93DE0">
              <w:rPr>
                <w:rFonts w:ascii="Times" w:hAnsi="Times"/>
                <w:sz w:val="22"/>
              </w:rPr>
              <w:t xml:space="preserve"> an Fördervolumen wurden für 2020 zugesagt. Damit wird der Kesseltausch von fossil auf erneuerbar weiterhin mit bis zu </w:t>
            </w:r>
            <w:r w:rsidRPr="00F93DE0">
              <w:rPr>
                <w:rFonts w:ascii="Times" w:hAnsi="Times"/>
                <w:b/>
                <w:bCs/>
                <w:sz w:val="22"/>
              </w:rPr>
              <w:t>5.000 Euro</w:t>
            </w:r>
            <w:r w:rsidRPr="00F93DE0">
              <w:rPr>
                <w:rFonts w:ascii="Times" w:hAnsi="Times"/>
                <w:sz w:val="22"/>
              </w:rPr>
              <w:t xml:space="preserve"> gefördert. Nähere Informationen folgen unter h</w:t>
            </w:r>
            <w:hyperlink r:id="rId9" w:history="1">
              <w:r w:rsidRPr="00F93DE0">
                <w:rPr>
                  <w:rFonts w:ascii="Times" w:hAnsi="Times"/>
                  <w:sz w:val="22"/>
                </w:rPr>
                <w:t>ttps://www.umweltfoerderung.at</w:t>
              </w:r>
            </w:hyperlink>
            <w:r w:rsidRPr="00F93DE0">
              <w:rPr>
                <w:rFonts w:ascii="Times" w:hAnsi="Times"/>
                <w:sz w:val="22"/>
              </w:rPr>
              <w:t xml:space="preserve"> .</w:t>
            </w:r>
          </w:p>
          <w:p w14:paraId="2076EB89" w14:textId="77777777" w:rsidR="004335FF" w:rsidRPr="00F93DE0" w:rsidRDefault="004335FF" w:rsidP="00F93DE0">
            <w:pPr>
              <w:ind w:right="173"/>
              <w:rPr>
                <w:rFonts w:ascii="Times" w:hAnsi="Times"/>
                <w:sz w:val="22"/>
              </w:rPr>
            </w:pPr>
          </w:p>
        </w:tc>
      </w:tr>
      <w:tr w:rsidR="004335FF" w:rsidRPr="00764B9A" w14:paraId="2375C8CC" w14:textId="77777777" w:rsidTr="00870555">
        <w:tc>
          <w:tcPr>
            <w:tcW w:w="1965" w:type="dxa"/>
          </w:tcPr>
          <w:p w14:paraId="06D30601" w14:textId="77777777" w:rsidR="004335FF" w:rsidRPr="00B36417" w:rsidRDefault="004335FF" w:rsidP="00870555">
            <w:pPr>
              <w:ind w:right="173"/>
              <w:rPr>
                <w:rFonts w:ascii="Times" w:hAnsi="Times"/>
                <w:b/>
                <w:sz w:val="22"/>
              </w:rPr>
            </w:pPr>
            <w:r w:rsidRPr="00B36417">
              <w:rPr>
                <w:rFonts w:ascii="Times" w:hAnsi="Times"/>
                <w:b/>
                <w:sz w:val="22"/>
              </w:rPr>
              <w:t>Burgenland</w:t>
            </w:r>
            <w:r w:rsidRPr="00493B89">
              <w:rPr>
                <w:rFonts w:ascii="Times" w:hAnsi="Times"/>
                <w:b/>
                <w:noProof/>
                <w:sz w:val="22"/>
              </w:rPr>
              <w:drawing>
                <wp:inline distT="0" distB="0" distL="0" distR="0" wp14:anchorId="37C06951" wp14:editId="6B9516CC">
                  <wp:extent cx="762000" cy="838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2000" cy="838200"/>
                          </a:xfrm>
                          <a:prstGeom prst="rect">
                            <a:avLst/>
                          </a:prstGeom>
                        </pic:spPr>
                      </pic:pic>
                    </a:graphicData>
                  </a:graphic>
                </wp:inline>
              </w:drawing>
            </w:r>
          </w:p>
        </w:tc>
        <w:tc>
          <w:tcPr>
            <w:tcW w:w="8349" w:type="dxa"/>
          </w:tcPr>
          <w:p w14:paraId="689A13FA" w14:textId="77777777" w:rsidR="004335FF" w:rsidRDefault="004335FF" w:rsidP="00870555">
            <w:pPr>
              <w:ind w:right="173"/>
              <w:rPr>
                <w:rFonts w:ascii="Times" w:hAnsi="Times"/>
                <w:b/>
                <w:sz w:val="22"/>
              </w:rPr>
            </w:pPr>
            <w:r w:rsidRPr="00FF3A3A">
              <w:rPr>
                <w:rFonts w:ascii="Times" w:hAnsi="Times"/>
                <w:sz w:val="22"/>
              </w:rPr>
              <w:t xml:space="preserve">max. Förderhöhe: </w:t>
            </w:r>
            <w:r w:rsidRPr="00FF3A3A">
              <w:rPr>
                <w:rFonts w:ascii="Times" w:hAnsi="Times"/>
                <w:b/>
                <w:sz w:val="22"/>
              </w:rPr>
              <w:t>30 %</w:t>
            </w:r>
            <w:r w:rsidRPr="00FF3A3A">
              <w:rPr>
                <w:rFonts w:ascii="Times" w:hAnsi="Times"/>
                <w:sz w:val="22"/>
              </w:rPr>
              <w:t xml:space="preserve"> der Investitionskosten; max. Förderbetrag:</w:t>
            </w:r>
            <w:r>
              <w:rPr>
                <w:rFonts w:ascii="Times" w:hAnsi="Times"/>
                <w:b/>
                <w:sz w:val="22"/>
              </w:rPr>
              <w:t xml:space="preserve"> € 2.2</w:t>
            </w:r>
            <w:r w:rsidRPr="00FF3A3A">
              <w:rPr>
                <w:rFonts w:ascii="Times" w:hAnsi="Times"/>
                <w:b/>
                <w:sz w:val="22"/>
              </w:rPr>
              <w:t>00,-</w:t>
            </w:r>
          </w:p>
          <w:p w14:paraId="79FD3FD3" w14:textId="77777777" w:rsidR="004335FF" w:rsidRDefault="004335FF" w:rsidP="00870555">
            <w:pPr>
              <w:ind w:right="173"/>
              <w:rPr>
                <w:rFonts w:ascii="Times" w:hAnsi="Times"/>
                <w:b/>
                <w:sz w:val="22"/>
              </w:rPr>
            </w:pPr>
            <w:r w:rsidRPr="0058623D">
              <w:rPr>
                <w:rFonts w:ascii="Times" w:hAnsi="Times"/>
                <w:sz w:val="22"/>
              </w:rPr>
              <w:t>Sonstige Anlagen wie Kachelöfen, Heizkamine; max. Förderbetrag:</w:t>
            </w:r>
            <w:r>
              <w:rPr>
                <w:rFonts w:ascii="Times" w:hAnsi="Times"/>
                <w:b/>
                <w:sz w:val="22"/>
              </w:rPr>
              <w:t xml:space="preserve"> € 1.300,-</w:t>
            </w:r>
          </w:p>
          <w:p w14:paraId="038671F9" w14:textId="77777777" w:rsidR="004335FF" w:rsidRDefault="004335FF" w:rsidP="00870555">
            <w:pPr>
              <w:ind w:right="173"/>
              <w:rPr>
                <w:rFonts w:ascii="Times" w:hAnsi="Times"/>
                <w:b/>
                <w:sz w:val="22"/>
              </w:rPr>
            </w:pPr>
            <w:r w:rsidRPr="0058623D">
              <w:rPr>
                <w:rFonts w:ascii="Times" w:hAnsi="Times"/>
                <w:sz w:val="22"/>
              </w:rPr>
              <w:t>Fernwärmeanschluss aus erneuerbaren Energien; max.</w:t>
            </w:r>
            <w:r>
              <w:rPr>
                <w:rFonts w:ascii="Times" w:hAnsi="Times"/>
                <w:b/>
                <w:sz w:val="22"/>
              </w:rPr>
              <w:t xml:space="preserve"> € 2.000,-</w:t>
            </w:r>
          </w:p>
          <w:p w14:paraId="57CF1BB9" w14:textId="77777777" w:rsidR="004335FF" w:rsidRDefault="004335FF" w:rsidP="00870555">
            <w:pPr>
              <w:ind w:right="173"/>
              <w:rPr>
                <w:rFonts w:ascii="Times" w:hAnsi="Times"/>
                <w:b/>
                <w:sz w:val="22"/>
              </w:rPr>
            </w:pPr>
            <w:r w:rsidRPr="00825FDA">
              <w:rPr>
                <w:rFonts w:ascii="Times" w:hAnsi="Times"/>
                <w:sz w:val="22"/>
              </w:rPr>
              <w:t>Thermische Solaranlage; max</w:t>
            </w:r>
            <w:r>
              <w:rPr>
                <w:rFonts w:ascii="Times" w:hAnsi="Times"/>
                <w:b/>
                <w:sz w:val="22"/>
              </w:rPr>
              <w:t>. € 1.800,-</w:t>
            </w:r>
          </w:p>
          <w:p w14:paraId="3F675FE0" w14:textId="77777777" w:rsidR="00DB5270" w:rsidRDefault="00DB5270" w:rsidP="00870555">
            <w:pPr>
              <w:ind w:right="173"/>
              <w:rPr>
                <w:rFonts w:ascii="Times" w:hAnsi="Times"/>
                <w:sz w:val="22"/>
              </w:rPr>
            </w:pPr>
            <w:r w:rsidRPr="00DB5270">
              <w:rPr>
                <w:rFonts w:ascii="Times" w:hAnsi="Times"/>
                <w:sz w:val="22"/>
              </w:rPr>
              <w:t xml:space="preserve">Umstieg von </w:t>
            </w:r>
            <w:r>
              <w:rPr>
                <w:rFonts w:ascii="Times" w:hAnsi="Times"/>
                <w:sz w:val="22"/>
              </w:rPr>
              <w:t xml:space="preserve">alten Ölkessel oder Direkt-Stromheizung: </w:t>
            </w:r>
            <w:r w:rsidRPr="00DB5270">
              <w:rPr>
                <w:rFonts w:ascii="Times" w:hAnsi="Times"/>
                <w:b/>
                <w:bCs/>
                <w:sz w:val="22"/>
              </w:rPr>
              <w:t>€ 200,-</w:t>
            </w:r>
          </w:p>
          <w:p w14:paraId="7BD5DBC7" w14:textId="77777777" w:rsidR="00DB5270" w:rsidRPr="00DB5270" w:rsidRDefault="00DB5270" w:rsidP="00870555">
            <w:pPr>
              <w:ind w:right="173"/>
              <w:rPr>
                <w:rFonts w:ascii="Times" w:hAnsi="Times"/>
                <w:sz w:val="22"/>
              </w:rPr>
            </w:pPr>
            <w:r>
              <w:rPr>
                <w:rFonts w:ascii="Times" w:hAnsi="Times"/>
                <w:sz w:val="22"/>
              </w:rPr>
              <w:t xml:space="preserve">Pufferspeicher min mind. 500 Liter (sofern nicht erforderlich): € </w:t>
            </w:r>
            <w:r w:rsidRPr="00DB5270">
              <w:rPr>
                <w:rFonts w:ascii="Times" w:hAnsi="Times"/>
                <w:b/>
                <w:bCs/>
                <w:sz w:val="22"/>
              </w:rPr>
              <w:t>100,-</w:t>
            </w:r>
            <w:r>
              <w:rPr>
                <w:rFonts w:ascii="Times" w:hAnsi="Times"/>
                <w:sz w:val="22"/>
              </w:rPr>
              <w:t xml:space="preserve"> </w:t>
            </w:r>
          </w:p>
          <w:p w14:paraId="565D6577" w14:textId="77777777" w:rsidR="004335FF" w:rsidRDefault="004335FF" w:rsidP="00870555">
            <w:pPr>
              <w:ind w:right="173"/>
              <w:rPr>
                <w:rFonts w:ascii="Times" w:hAnsi="Times"/>
                <w:b/>
                <w:sz w:val="22"/>
              </w:rPr>
            </w:pPr>
            <w:r w:rsidRPr="003F7F7E">
              <w:rPr>
                <w:rFonts w:ascii="Times" w:hAnsi="Times"/>
                <w:sz w:val="22"/>
              </w:rPr>
              <w:t>Maßnahmen zur Effizien</w:t>
            </w:r>
            <w:r>
              <w:rPr>
                <w:rFonts w:ascii="Times" w:hAnsi="Times"/>
                <w:sz w:val="22"/>
              </w:rPr>
              <w:t xml:space="preserve">zsteigerung wie </w:t>
            </w:r>
            <w:r w:rsidRPr="003F7F7E">
              <w:rPr>
                <w:rFonts w:ascii="Times" w:hAnsi="Times"/>
                <w:sz w:val="22"/>
              </w:rPr>
              <w:t>nachträglicher Pufferspeicher oder elektronische Regelung; max. €</w:t>
            </w:r>
            <w:r>
              <w:rPr>
                <w:rFonts w:ascii="Times" w:hAnsi="Times"/>
                <w:b/>
                <w:sz w:val="22"/>
              </w:rPr>
              <w:t xml:space="preserve"> 400,-; </w:t>
            </w:r>
            <w:r w:rsidRPr="008F4AB9">
              <w:rPr>
                <w:rFonts w:ascii="Times" w:hAnsi="Times"/>
                <w:sz w:val="22"/>
              </w:rPr>
              <w:t>Doppelförderung nicht möglich.</w:t>
            </w:r>
          </w:p>
          <w:p w14:paraId="580A6FF4" w14:textId="77777777" w:rsidR="004335FF" w:rsidRPr="00FF3A3A" w:rsidRDefault="004335FF" w:rsidP="00870555">
            <w:pPr>
              <w:ind w:right="173"/>
              <w:rPr>
                <w:rFonts w:ascii="Times" w:hAnsi="Times"/>
                <w:sz w:val="22"/>
              </w:rPr>
            </w:pPr>
            <w:r>
              <w:rPr>
                <w:rFonts w:ascii="Times" w:hAnsi="Times"/>
                <w:sz w:val="22"/>
              </w:rPr>
              <w:t xml:space="preserve">Details unter diesem </w:t>
            </w:r>
            <w:hyperlink r:id="rId11" w:history="1">
              <w:r w:rsidRPr="00825FDA">
                <w:rPr>
                  <w:rStyle w:val="Hyperlink"/>
                  <w:rFonts w:ascii="Times" w:hAnsi="Times"/>
                  <w:color w:val="00B0F0"/>
                  <w:sz w:val="22"/>
                  <w:u w:val="single"/>
                </w:rPr>
                <w:t>Link</w:t>
              </w:r>
            </w:hyperlink>
            <w:r w:rsidRPr="00085F91">
              <w:rPr>
                <w:rFonts w:ascii="Times" w:hAnsi="Times"/>
                <w:color w:val="3366FF"/>
                <w:sz w:val="22"/>
              </w:rPr>
              <w:t xml:space="preserve"> </w:t>
            </w:r>
            <w:r>
              <w:rPr>
                <w:rFonts w:ascii="Times" w:hAnsi="Times"/>
                <w:sz w:val="22"/>
              </w:rPr>
              <w:t>ersichtlich.</w:t>
            </w:r>
          </w:p>
        </w:tc>
      </w:tr>
      <w:tr w:rsidR="004335FF" w:rsidRPr="00764B9A" w14:paraId="4038F17E" w14:textId="77777777" w:rsidTr="00870555">
        <w:tc>
          <w:tcPr>
            <w:tcW w:w="1965" w:type="dxa"/>
          </w:tcPr>
          <w:p w14:paraId="78A4F5D3" w14:textId="77777777" w:rsidR="004335FF" w:rsidRDefault="004335FF" w:rsidP="00870555">
            <w:pPr>
              <w:ind w:right="173"/>
              <w:rPr>
                <w:rFonts w:ascii="Times" w:hAnsi="Times"/>
                <w:b/>
                <w:sz w:val="22"/>
              </w:rPr>
            </w:pPr>
            <w:r w:rsidRPr="00B36417">
              <w:rPr>
                <w:rFonts w:ascii="Times" w:hAnsi="Times"/>
                <w:b/>
                <w:sz w:val="22"/>
              </w:rPr>
              <w:t>Kärnten</w:t>
            </w:r>
          </w:p>
          <w:p w14:paraId="6B7796F0" w14:textId="77777777" w:rsidR="004335FF" w:rsidRPr="00B36417" w:rsidRDefault="004335FF" w:rsidP="00870555">
            <w:pPr>
              <w:ind w:right="173"/>
              <w:rPr>
                <w:rFonts w:ascii="Times" w:hAnsi="Times"/>
                <w:b/>
                <w:sz w:val="22"/>
              </w:rPr>
            </w:pPr>
            <w:r w:rsidRPr="00A72D2C">
              <w:rPr>
                <w:rFonts w:ascii="Times" w:hAnsi="Times"/>
                <w:b/>
                <w:noProof/>
                <w:sz w:val="22"/>
              </w:rPr>
              <w:drawing>
                <wp:inline distT="0" distB="0" distL="0" distR="0" wp14:anchorId="51989029" wp14:editId="64DF5F11">
                  <wp:extent cx="774700" cy="838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4700" cy="838200"/>
                          </a:xfrm>
                          <a:prstGeom prst="rect">
                            <a:avLst/>
                          </a:prstGeom>
                        </pic:spPr>
                      </pic:pic>
                    </a:graphicData>
                  </a:graphic>
                </wp:inline>
              </w:drawing>
            </w:r>
          </w:p>
        </w:tc>
        <w:tc>
          <w:tcPr>
            <w:tcW w:w="8349" w:type="dxa"/>
          </w:tcPr>
          <w:p w14:paraId="65E6559E" w14:textId="77777777" w:rsidR="004335FF" w:rsidRDefault="004335FF" w:rsidP="00870555">
            <w:pPr>
              <w:ind w:right="173"/>
              <w:rPr>
                <w:rFonts w:ascii="Times" w:hAnsi="Times"/>
                <w:sz w:val="22"/>
              </w:rPr>
            </w:pPr>
            <w:r>
              <w:rPr>
                <w:rFonts w:ascii="Times" w:hAnsi="Times"/>
                <w:sz w:val="22"/>
              </w:rPr>
              <w:t xml:space="preserve">Die Sanierungsförderung erfolgt wahlweise in Form eines Einmalzuschusses oder alternativ in Form eines Förderungskredites. </w:t>
            </w:r>
          </w:p>
          <w:p w14:paraId="506F85E9" w14:textId="77777777" w:rsidR="004335FF" w:rsidRPr="0074499B" w:rsidRDefault="004335FF" w:rsidP="00870555">
            <w:pPr>
              <w:ind w:right="173"/>
              <w:rPr>
                <w:rFonts w:ascii="Times" w:hAnsi="Times"/>
                <w:sz w:val="22"/>
              </w:rPr>
            </w:pPr>
            <w:r>
              <w:rPr>
                <w:rFonts w:ascii="Times" w:hAnsi="Times"/>
                <w:sz w:val="22"/>
                <w:lang w:val="de-AT"/>
              </w:rPr>
              <w:t xml:space="preserve">Förderungskredit </w:t>
            </w:r>
            <w:r w:rsidRPr="0074499B">
              <w:rPr>
                <w:rFonts w:ascii="Times" w:hAnsi="Times"/>
                <w:sz w:val="22"/>
                <w:lang w:val="de-AT"/>
              </w:rPr>
              <w:t xml:space="preserve">im Ausmaß von </w:t>
            </w:r>
          </w:p>
          <w:p w14:paraId="61710A9E" w14:textId="77777777" w:rsidR="004335FF" w:rsidRDefault="004335FF" w:rsidP="004335FF">
            <w:pPr>
              <w:pStyle w:val="Listenabsatz"/>
              <w:numPr>
                <w:ilvl w:val="0"/>
                <w:numId w:val="8"/>
              </w:numPr>
              <w:autoSpaceDE w:val="0"/>
              <w:autoSpaceDN w:val="0"/>
              <w:adjustRightInd w:val="0"/>
              <w:rPr>
                <w:rFonts w:cs="Arial"/>
                <w:b/>
                <w:color w:val="000000"/>
                <w:szCs w:val="22"/>
              </w:rPr>
            </w:pPr>
            <w:r w:rsidRPr="004D2C0D">
              <w:rPr>
                <w:rFonts w:cs="Arial"/>
                <w:color w:val="000000"/>
                <w:szCs w:val="22"/>
              </w:rPr>
              <w:t xml:space="preserve">max. </w:t>
            </w:r>
            <w:r w:rsidRPr="00EF4159">
              <w:rPr>
                <w:rFonts w:cs="Arial"/>
                <w:b/>
                <w:color w:val="000000"/>
                <w:szCs w:val="22"/>
              </w:rPr>
              <w:t>30%</w:t>
            </w:r>
            <w:r w:rsidRPr="004D2C0D">
              <w:rPr>
                <w:rFonts w:cs="Arial"/>
                <w:color w:val="000000"/>
                <w:szCs w:val="22"/>
              </w:rPr>
              <w:t xml:space="preserve"> der förderbaren Sanierungskosten von höchstens </w:t>
            </w:r>
            <w:r w:rsidRPr="00EF4159">
              <w:rPr>
                <w:rFonts w:cs="Arial"/>
                <w:b/>
                <w:color w:val="000000"/>
                <w:szCs w:val="22"/>
              </w:rPr>
              <w:t>€ 36.000</w:t>
            </w:r>
            <w:r w:rsidRPr="004D2C0D">
              <w:rPr>
                <w:rFonts w:cs="Arial"/>
                <w:color w:val="000000"/>
                <w:szCs w:val="22"/>
              </w:rPr>
              <w:t xml:space="preserve"> je Gebäude für Einzelbauteilmaßnahmen zur Erhöhung des Wärmeschutzes und </w:t>
            </w:r>
            <w:r w:rsidRPr="00A5279F">
              <w:rPr>
                <w:rFonts w:cs="Arial"/>
                <w:b/>
                <w:color w:val="000000"/>
                <w:szCs w:val="22"/>
              </w:rPr>
              <w:t>max. 35 %</w:t>
            </w:r>
            <w:r>
              <w:rPr>
                <w:rFonts w:cs="Arial"/>
                <w:b/>
                <w:color w:val="000000"/>
                <w:szCs w:val="22"/>
              </w:rPr>
              <w:t xml:space="preserve"> für</w:t>
            </w:r>
            <w:r w:rsidRPr="00A5279F">
              <w:rPr>
                <w:rFonts w:cs="Arial"/>
                <w:b/>
                <w:color w:val="000000"/>
                <w:szCs w:val="22"/>
              </w:rPr>
              <w:t xml:space="preserve"> energieeffiziente Haustechnikanlagen </w:t>
            </w:r>
          </w:p>
          <w:p w14:paraId="48B13A79" w14:textId="77777777" w:rsidR="004335FF" w:rsidRPr="0074499B" w:rsidRDefault="004335FF" w:rsidP="004335FF">
            <w:pPr>
              <w:pStyle w:val="Listenabsatz"/>
              <w:numPr>
                <w:ilvl w:val="0"/>
                <w:numId w:val="8"/>
              </w:numPr>
              <w:autoSpaceDE w:val="0"/>
              <w:autoSpaceDN w:val="0"/>
              <w:adjustRightInd w:val="0"/>
              <w:rPr>
                <w:rFonts w:cs="Arial"/>
                <w:color w:val="000000"/>
                <w:szCs w:val="22"/>
              </w:rPr>
            </w:pPr>
            <w:r w:rsidRPr="004D2C0D">
              <w:rPr>
                <w:rFonts w:cs="Arial"/>
                <w:color w:val="000000"/>
                <w:szCs w:val="22"/>
              </w:rPr>
              <w:t xml:space="preserve">max. 40% der förderbaren Sanierungskosten von höchstens </w:t>
            </w:r>
            <w:r w:rsidRPr="00341576">
              <w:rPr>
                <w:rFonts w:cs="Arial"/>
                <w:color w:val="000000"/>
                <w:szCs w:val="22"/>
              </w:rPr>
              <w:t xml:space="preserve">€ 48.000 je Gebäude für umfassende energetische Sanierungsmaßnahmen, wobei sich die förderbaren Sanierungskosten für die 2. Wohnung um 50% erhöhen. </w:t>
            </w:r>
          </w:p>
          <w:p w14:paraId="521CFD16" w14:textId="77777777" w:rsidR="004335FF" w:rsidRDefault="004335FF" w:rsidP="00870555">
            <w:pPr>
              <w:ind w:right="173"/>
              <w:rPr>
                <w:rFonts w:ascii="Times" w:hAnsi="Times"/>
                <w:sz w:val="22"/>
                <w:lang w:val="de-AT"/>
              </w:rPr>
            </w:pPr>
            <w:r w:rsidRPr="0074499B">
              <w:rPr>
                <w:rFonts w:ascii="Times" w:hAnsi="Times"/>
                <w:b/>
                <w:sz w:val="22"/>
                <w:lang w:val="de-AT"/>
              </w:rPr>
              <w:t>Einmalzuschuss</w:t>
            </w:r>
            <w:r>
              <w:rPr>
                <w:rFonts w:ascii="Times" w:hAnsi="Times"/>
                <w:sz w:val="22"/>
                <w:lang w:val="de-AT"/>
              </w:rPr>
              <w:t xml:space="preserve">: </w:t>
            </w:r>
            <w:r w:rsidRPr="000F1A8E">
              <w:rPr>
                <w:rFonts w:ascii="Times" w:hAnsi="Times"/>
                <w:sz w:val="22"/>
                <w:lang w:val="de-AT"/>
              </w:rPr>
              <w:t>Ausmaß von max.</w:t>
            </w:r>
            <w:r>
              <w:rPr>
                <w:rFonts w:ascii="Times" w:hAnsi="Times"/>
                <w:sz w:val="22"/>
                <w:lang w:val="de-AT"/>
              </w:rPr>
              <w:t xml:space="preserve"> </w:t>
            </w:r>
            <w:r w:rsidRPr="000F1A8E">
              <w:rPr>
                <w:rFonts w:ascii="Times" w:hAnsi="Times"/>
                <w:sz w:val="22"/>
                <w:lang w:val="de-AT"/>
              </w:rPr>
              <w:t>3</w:t>
            </w:r>
            <w:r>
              <w:rPr>
                <w:rFonts w:ascii="Times" w:hAnsi="Times"/>
                <w:sz w:val="22"/>
                <w:lang w:val="de-AT"/>
              </w:rPr>
              <w:t>5</w:t>
            </w:r>
            <w:r w:rsidRPr="000F1A8E">
              <w:rPr>
                <w:rFonts w:ascii="Times" w:hAnsi="Times"/>
                <w:sz w:val="22"/>
                <w:lang w:val="de-AT"/>
              </w:rPr>
              <w:t>%</w:t>
            </w:r>
            <w:r>
              <w:rPr>
                <w:rFonts w:ascii="Times" w:hAnsi="Times"/>
                <w:sz w:val="22"/>
                <w:lang w:val="de-AT"/>
              </w:rPr>
              <w:t xml:space="preserve"> </w:t>
            </w:r>
            <w:r w:rsidRPr="000F1A8E">
              <w:rPr>
                <w:rFonts w:ascii="Times" w:hAnsi="Times"/>
                <w:sz w:val="22"/>
                <w:lang w:val="de-AT"/>
              </w:rPr>
              <w:t>der</w:t>
            </w:r>
            <w:r>
              <w:rPr>
                <w:rFonts w:ascii="Times" w:hAnsi="Times"/>
                <w:sz w:val="22"/>
                <w:lang w:val="de-AT"/>
              </w:rPr>
              <w:t xml:space="preserve"> </w:t>
            </w:r>
            <w:r w:rsidRPr="000F1A8E">
              <w:rPr>
                <w:rFonts w:ascii="Times" w:hAnsi="Times"/>
                <w:sz w:val="22"/>
                <w:lang w:val="de-AT"/>
              </w:rPr>
              <w:t>förderbaren</w:t>
            </w:r>
            <w:r>
              <w:rPr>
                <w:rFonts w:ascii="Times" w:hAnsi="Times"/>
                <w:sz w:val="22"/>
                <w:lang w:val="de-AT"/>
              </w:rPr>
              <w:t xml:space="preserve"> </w:t>
            </w:r>
            <w:r w:rsidRPr="000F1A8E">
              <w:rPr>
                <w:rFonts w:ascii="Times" w:hAnsi="Times"/>
                <w:sz w:val="22"/>
                <w:lang w:val="de-AT"/>
              </w:rPr>
              <w:t>Sanierungskosten</w:t>
            </w:r>
            <w:r>
              <w:rPr>
                <w:rFonts w:ascii="Times" w:hAnsi="Times"/>
                <w:sz w:val="22"/>
                <w:lang w:val="de-AT"/>
              </w:rPr>
              <w:t>.</w:t>
            </w:r>
          </w:p>
          <w:p w14:paraId="3D26199F" w14:textId="77777777" w:rsidR="004335FF" w:rsidRDefault="004335FF" w:rsidP="00870555">
            <w:pPr>
              <w:ind w:right="173"/>
              <w:rPr>
                <w:rFonts w:ascii="Times" w:hAnsi="Times"/>
                <w:sz w:val="22"/>
              </w:rPr>
            </w:pPr>
            <w:r>
              <w:rPr>
                <w:rFonts w:ascii="Times" w:hAnsi="Times"/>
                <w:sz w:val="22"/>
                <w:lang w:val="de-AT"/>
              </w:rPr>
              <w:t xml:space="preserve">Austausch Alt gegen Neu – (biogene Brennstoffe oder Fernwärme) </w:t>
            </w:r>
            <w:r>
              <w:rPr>
                <w:rFonts w:ascii="Times" w:hAnsi="Times"/>
                <w:sz w:val="22"/>
              </w:rPr>
              <w:t>max. € 3</w:t>
            </w:r>
            <w:r w:rsidRPr="00835133">
              <w:rPr>
                <w:rFonts w:ascii="Times" w:hAnsi="Times"/>
                <w:b/>
                <w:sz w:val="22"/>
              </w:rPr>
              <w:t>.</w:t>
            </w:r>
            <w:r>
              <w:rPr>
                <w:rFonts w:ascii="Times" w:hAnsi="Times"/>
                <w:b/>
                <w:sz w:val="22"/>
              </w:rPr>
              <w:t>0</w:t>
            </w:r>
            <w:r w:rsidRPr="00835133">
              <w:rPr>
                <w:rFonts w:ascii="Times" w:hAnsi="Times"/>
                <w:b/>
                <w:sz w:val="22"/>
              </w:rPr>
              <w:t>00</w:t>
            </w:r>
            <w:r>
              <w:rPr>
                <w:rFonts w:ascii="Times" w:hAnsi="Times"/>
                <w:sz w:val="22"/>
              </w:rPr>
              <w:t>,- .</w:t>
            </w:r>
          </w:p>
          <w:p w14:paraId="79B1C06D" w14:textId="77777777" w:rsidR="004335FF" w:rsidRDefault="004335FF" w:rsidP="00870555">
            <w:pPr>
              <w:ind w:right="173"/>
              <w:rPr>
                <w:rFonts w:ascii="Times" w:hAnsi="Times"/>
                <w:sz w:val="22"/>
              </w:rPr>
            </w:pPr>
            <w:r>
              <w:rPr>
                <w:rFonts w:ascii="Times" w:hAnsi="Times"/>
                <w:sz w:val="22"/>
              </w:rPr>
              <w:t xml:space="preserve">Austausch alte Fossile gegen Neu (biogene Brennst. Od. Fernw. Max. </w:t>
            </w:r>
            <w:r w:rsidRPr="0074499B">
              <w:rPr>
                <w:rFonts w:ascii="Times" w:hAnsi="Times"/>
                <w:b/>
                <w:sz w:val="22"/>
              </w:rPr>
              <w:t>€ 6.000,-</w:t>
            </w:r>
            <w:r>
              <w:rPr>
                <w:rFonts w:ascii="Times" w:hAnsi="Times"/>
                <w:sz w:val="22"/>
              </w:rPr>
              <w:t xml:space="preserve"> .</w:t>
            </w:r>
          </w:p>
          <w:p w14:paraId="3330035E" w14:textId="77777777" w:rsidR="004335FF" w:rsidRDefault="004335FF" w:rsidP="00870555">
            <w:pPr>
              <w:ind w:right="173"/>
              <w:rPr>
                <w:rFonts w:ascii="Times" w:hAnsi="Times"/>
                <w:sz w:val="22"/>
              </w:rPr>
            </w:pPr>
            <w:r>
              <w:rPr>
                <w:rFonts w:ascii="Times" w:hAnsi="Times"/>
                <w:sz w:val="22"/>
              </w:rPr>
              <w:t xml:space="preserve">Solaranlage </w:t>
            </w:r>
            <w:r w:rsidRPr="00340076">
              <w:rPr>
                <w:rFonts w:ascii="Times" w:hAnsi="Times"/>
                <w:b/>
                <w:sz w:val="22"/>
              </w:rPr>
              <w:t>€ 250,-</w:t>
            </w:r>
            <w:r>
              <w:rPr>
                <w:rFonts w:ascii="Times" w:hAnsi="Times"/>
                <w:sz w:val="22"/>
              </w:rPr>
              <w:t xml:space="preserve"> je m</w:t>
            </w:r>
            <w:r w:rsidRPr="00340076">
              <w:rPr>
                <w:rFonts w:ascii="Times" w:hAnsi="Times"/>
                <w:sz w:val="22"/>
                <w:vertAlign w:val="superscript"/>
              </w:rPr>
              <w:t>2</w:t>
            </w:r>
            <w:r>
              <w:rPr>
                <w:rFonts w:ascii="Times" w:hAnsi="Times"/>
                <w:sz w:val="22"/>
              </w:rPr>
              <w:t xml:space="preserve">, max. </w:t>
            </w:r>
            <w:r w:rsidRPr="0030133C">
              <w:rPr>
                <w:rFonts w:ascii="Times" w:hAnsi="Times"/>
                <w:b/>
                <w:sz w:val="22"/>
              </w:rPr>
              <w:t>€ 3.750,-</w:t>
            </w:r>
          </w:p>
          <w:p w14:paraId="53FE0B08" w14:textId="77777777" w:rsidR="004335FF" w:rsidRDefault="004335FF" w:rsidP="00870555">
            <w:pPr>
              <w:ind w:right="173"/>
              <w:rPr>
                <w:rFonts w:ascii="Times" w:hAnsi="Times"/>
                <w:sz w:val="22"/>
              </w:rPr>
            </w:pPr>
            <w:r>
              <w:rPr>
                <w:rFonts w:ascii="Times" w:hAnsi="Times"/>
                <w:sz w:val="22"/>
              </w:rPr>
              <w:t xml:space="preserve">PV-Anlage </w:t>
            </w:r>
            <w:r w:rsidRPr="00340076">
              <w:rPr>
                <w:rFonts w:ascii="Times" w:hAnsi="Times"/>
                <w:b/>
                <w:sz w:val="22"/>
              </w:rPr>
              <w:t>€ 480,-</w:t>
            </w:r>
            <w:r>
              <w:rPr>
                <w:rFonts w:ascii="Times" w:hAnsi="Times"/>
                <w:sz w:val="22"/>
              </w:rPr>
              <w:t xml:space="preserve"> je m</w:t>
            </w:r>
            <w:r w:rsidRPr="00340076">
              <w:rPr>
                <w:rFonts w:ascii="Times" w:hAnsi="Times"/>
                <w:sz w:val="22"/>
                <w:vertAlign w:val="superscript"/>
              </w:rPr>
              <w:t>2</w:t>
            </w:r>
            <w:r>
              <w:rPr>
                <w:rFonts w:ascii="Times" w:hAnsi="Times"/>
                <w:sz w:val="22"/>
              </w:rPr>
              <w:t xml:space="preserve">, max. </w:t>
            </w:r>
            <w:r w:rsidRPr="0030133C">
              <w:rPr>
                <w:rFonts w:ascii="Times" w:hAnsi="Times"/>
                <w:b/>
                <w:sz w:val="22"/>
              </w:rPr>
              <w:t>€ 2.400,-</w:t>
            </w:r>
          </w:p>
          <w:p w14:paraId="53FA2299" w14:textId="77777777" w:rsidR="004335FF" w:rsidRDefault="004335FF" w:rsidP="00870555">
            <w:pPr>
              <w:ind w:right="173"/>
              <w:rPr>
                <w:rFonts w:ascii="Times" w:hAnsi="Times"/>
                <w:sz w:val="22"/>
              </w:rPr>
            </w:pPr>
            <w:r>
              <w:rPr>
                <w:rFonts w:ascii="Times" w:hAnsi="Times"/>
                <w:sz w:val="22"/>
              </w:rPr>
              <w:t xml:space="preserve">Stromspeicher max. € 3.000,- </w:t>
            </w:r>
          </w:p>
          <w:p w14:paraId="3E0E289D" w14:textId="77777777" w:rsidR="004335FF" w:rsidRPr="0087371C" w:rsidRDefault="004335FF" w:rsidP="00870555">
            <w:pPr>
              <w:ind w:right="173"/>
              <w:rPr>
                <w:rFonts w:ascii="Times" w:hAnsi="Times"/>
                <w:sz w:val="22"/>
                <w:szCs w:val="22"/>
              </w:rPr>
            </w:pPr>
            <w:r>
              <w:rPr>
                <w:rFonts w:ascii="Times" w:hAnsi="Times"/>
                <w:sz w:val="22"/>
              </w:rPr>
              <w:t>Details unter diesem</w:t>
            </w:r>
            <w:r w:rsidRPr="003F7F7E">
              <w:rPr>
                <w:rFonts w:ascii="Times" w:hAnsi="Times"/>
                <w:color w:val="0070C0"/>
                <w:sz w:val="22"/>
              </w:rPr>
              <w:t xml:space="preserve"> </w:t>
            </w:r>
            <w:hyperlink r:id="rId13" w:history="1">
              <w:r w:rsidRPr="00340076">
                <w:rPr>
                  <w:rStyle w:val="Hyperlink"/>
                  <w:rFonts w:ascii="Times" w:hAnsi="Times"/>
                  <w:color w:val="3366FF"/>
                  <w:sz w:val="22"/>
                  <w:u w:val="single"/>
                </w:rPr>
                <w:t>Link</w:t>
              </w:r>
            </w:hyperlink>
            <w:r w:rsidRPr="003F7F7E">
              <w:rPr>
                <w:rStyle w:val="Hyperlink"/>
                <w:color w:val="3366FF"/>
              </w:rPr>
              <w:t xml:space="preserve"> </w:t>
            </w:r>
            <w:r>
              <w:rPr>
                <w:rFonts w:ascii="Times" w:hAnsi="Times"/>
                <w:sz w:val="22"/>
              </w:rPr>
              <w:t>ersichtlich.</w:t>
            </w:r>
          </w:p>
        </w:tc>
      </w:tr>
      <w:tr w:rsidR="004335FF" w:rsidRPr="00764B9A" w14:paraId="56210583" w14:textId="77777777" w:rsidTr="00F93DE0">
        <w:trPr>
          <w:trHeight w:val="557"/>
        </w:trPr>
        <w:tc>
          <w:tcPr>
            <w:tcW w:w="1965" w:type="dxa"/>
            <w:tcBorders>
              <w:bottom w:val="single" w:sz="4" w:space="0" w:color="000000" w:themeColor="text1"/>
            </w:tcBorders>
          </w:tcPr>
          <w:p w14:paraId="63953C2C" w14:textId="77777777" w:rsidR="004335FF" w:rsidRDefault="004335FF" w:rsidP="00870555">
            <w:pPr>
              <w:ind w:right="173"/>
              <w:rPr>
                <w:rFonts w:ascii="Times" w:hAnsi="Times"/>
                <w:b/>
                <w:sz w:val="22"/>
              </w:rPr>
            </w:pPr>
            <w:r w:rsidRPr="00B36417">
              <w:rPr>
                <w:rFonts w:ascii="Times" w:hAnsi="Times"/>
                <w:b/>
                <w:sz w:val="22"/>
              </w:rPr>
              <w:t>Niederösterreich</w:t>
            </w:r>
          </w:p>
          <w:p w14:paraId="6F32562C" w14:textId="77777777" w:rsidR="004335FF" w:rsidRPr="00B36417" w:rsidRDefault="004335FF" w:rsidP="00870555">
            <w:pPr>
              <w:ind w:right="173"/>
              <w:rPr>
                <w:rFonts w:ascii="Times" w:hAnsi="Times"/>
                <w:b/>
                <w:sz w:val="22"/>
              </w:rPr>
            </w:pPr>
            <w:r w:rsidRPr="00A72D2C">
              <w:rPr>
                <w:rFonts w:ascii="Times" w:hAnsi="Times"/>
                <w:b/>
                <w:noProof/>
                <w:sz w:val="22"/>
              </w:rPr>
              <w:drawing>
                <wp:inline distT="0" distB="0" distL="0" distR="0" wp14:anchorId="684EF7C6" wp14:editId="388456A6">
                  <wp:extent cx="736600" cy="8128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36600" cy="812800"/>
                          </a:xfrm>
                          <a:prstGeom prst="rect">
                            <a:avLst/>
                          </a:prstGeom>
                        </pic:spPr>
                      </pic:pic>
                    </a:graphicData>
                  </a:graphic>
                </wp:inline>
              </w:drawing>
            </w:r>
          </w:p>
        </w:tc>
        <w:tc>
          <w:tcPr>
            <w:tcW w:w="8349" w:type="dxa"/>
            <w:tcBorders>
              <w:bottom w:val="single" w:sz="4" w:space="0" w:color="000000" w:themeColor="text1"/>
            </w:tcBorders>
          </w:tcPr>
          <w:p w14:paraId="7920CF4A" w14:textId="77777777" w:rsidR="004335FF" w:rsidRPr="00FF3A3A" w:rsidRDefault="004335FF" w:rsidP="00870555">
            <w:pPr>
              <w:ind w:right="173"/>
              <w:rPr>
                <w:rFonts w:ascii="Times" w:hAnsi="Times"/>
                <w:sz w:val="22"/>
              </w:rPr>
            </w:pPr>
            <w:r w:rsidRPr="00FF3A3A">
              <w:rPr>
                <w:rFonts w:ascii="Times" w:hAnsi="Times"/>
                <w:sz w:val="22"/>
              </w:rPr>
              <w:t xml:space="preserve">Heizungsanlagen mit festen biogenen Brennstoffen </w:t>
            </w:r>
            <w:r>
              <w:rPr>
                <w:rFonts w:ascii="Times" w:hAnsi="Times"/>
                <w:sz w:val="22"/>
              </w:rPr>
              <w:t>in Kombination mit einer Solar- oder Photovoltaikanlage und biogene Fernwärme.</w:t>
            </w:r>
          </w:p>
          <w:p w14:paraId="7ABD4D14" w14:textId="77777777" w:rsidR="004335FF" w:rsidRDefault="004335FF" w:rsidP="00870555">
            <w:pPr>
              <w:ind w:right="173"/>
              <w:rPr>
                <w:rFonts w:ascii="Times" w:hAnsi="Times"/>
                <w:sz w:val="22"/>
              </w:rPr>
            </w:pPr>
            <w:r w:rsidRPr="00085F91">
              <w:rPr>
                <w:rFonts w:ascii="Times" w:hAnsi="Times"/>
                <w:sz w:val="22"/>
              </w:rPr>
              <w:t xml:space="preserve">Die Förderung besteht </w:t>
            </w:r>
            <w:r w:rsidR="00DB5270" w:rsidRPr="00085F91">
              <w:rPr>
                <w:rFonts w:ascii="Times" w:hAnsi="Times"/>
                <w:sz w:val="22"/>
              </w:rPr>
              <w:t xml:space="preserve">aus </w:t>
            </w:r>
            <w:r w:rsidR="00DB5270">
              <w:rPr>
                <w:rFonts w:ascii="Times" w:hAnsi="Times"/>
                <w:sz w:val="22"/>
              </w:rPr>
              <w:t xml:space="preserve">einem </w:t>
            </w:r>
            <w:r w:rsidR="00DB5270" w:rsidRPr="00085F91">
              <w:rPr>
                <w:rFonts w:ascii="Times" w:hAnsi="Times"/>
                <w:sz w:val="22"/>
              </w:rPr>
              <w:t>jährlichen Zuschuss</w:t>
            </w:r>
            <w:r>
              <w:rPr>
                <w:rFonts w:ascii="Times" w:hAnsi="Times"/>
                <w:sz w:val="22"/>
              </w:rPr>
              <w:t xml:space="preserve">, zum Darlehen mit einer Mindestlaufzeit von </w:t>
            </w:r>
            <w:r w:rsidRPr="00DB5270">
              <w:rPr>
                <w:rFonts w:ascii="Times" w:hAnsi="Times"/>
                <w:b/>
                <w:bCs/>
                <w:sz w:val="22"/>
              </w:rPr>
              <w:t>10 Jahren</w:t>
            </w:r>
            <w:r>
              <w:rPr>
                <w:rFonts w:ascii="Times" w:hAnsi="Times"/>
                <w:sz w:val="22"/>
              </w:rPr>
              <w:t>,</w:t>
            </w:r>
            <w:r w:rsidRPr="00085F91">
              <w:rPr>
                <w:rFonts w:ascii="Times" w:hAnsi="Times"/>
                <w:sz w:val="22"/>
              </w:rPr>
              <w:t xml:space="preserve"> </w:t>
            </w:r>
            <w:r w:rsidRPr="00DB5270">
              <w:rPr>
                <w:rFonts w:ascii="Times" w:hAnsi="Times"/>
                <w:b/>
                <w:bCs/>
                <w:sz w:val="22"/>
              </w:rPr>
              <w:t>von 3 %</w:t>
            </w:r>
            <w:r w:rsidRPr="00085F91">
              <w:rPr>
                <w:rFonts w:ascii="Times" w:hAnsi="Times"/>
                <w:sz w:val="22"/>
              </w:rPr>
              <w:t xml:space="preserve"> des förderbaren Sanierungsbetrages. </w:t>
            </w:r>
            <w:r w:rsidR="00DB5270" w:rsidRPr="00DB5270">
              <w:rPr>
                <w:rFonts w:ascii="Times" w:hAnsi="Times"/>
                <w:sz w:val="22"/>
                <w:u w:val="single"/>
              </w:rPr>
              <w:t>Sofern kein Energieausweis</w:t>
            </w:r>
            <w:r w:rsidR="00DB5270">
              <w:rPr>
                <w:rFonts w:ascii="Times" w:hAnsi="Times"/>
                <w:sz w:val="22"/>
              </w:rPr>
              <w:t xml:space="preserve"> vorhanden ist. </w:t>
            </w:r>
          </w:p>
          <w:p w14:paraId="4B42FA91" w14:textId="77777777" w:rsidR="00DB5270" w:rsidRDefault="00DB5270" w:rsidP="00870555">
            <w:pPr>
              <w:ind w:right="173"/>
              <w:rPr>
                <w:rFonts w:ascii="Times" w:hAnsi="Times"/>
                <w:sz w:val="22"/>
              </w:rPr>
            </w:pPr>
            <w:r w:rsidRPr="00DB5270">
              <w:rPr>
                <w:rFonts w:ascii="Times" w:hAnsi="Times"/>
                <w:sz w:val="22"/>
                <w:u w:val="single"/>
              </w:rPr>
              <w:t>Förderung mit Energieausweis</w:t>
            </w:r>
            <w:r>
              <w:rPr>
                <w:rFonts w:ascii="Times" w:hAnsi="Times"/>
                <w:sz w:val="22"/>
              </w:rPr>
              <w:t xml:space="preserve"> besteht aus einem Einmalzuschuss in der Höhe von </w:t>
            </w:r>
            <w:r w:rsidRPr="00DB5270">
              <w:rPr>
                <w:rFonts w:ascii="Times" w:hAnsi="Times"/>
                <w:b/>
                <w:bCs/>
                <w:sz w:val="22"/>
              </w:rPr>
              <w:t>10 %</w:t>
            </w:r>
            <w:r>
              <w:rPr>
                <w:rFonts w:ascii="Times" w:hAnsi="Times"/>
                <w:sz w:val="22"/>
              </w:rPr>
              <w:t xml:space="preserve"> des förderbaren Sanierungsbetrages bis zu max. € 12.000,-, sowie einem jährlichen Zuschuss von </w:t>
            </w:r>
            <w:r w:rsidRPr="00DB5270">
              <w:rPr>
                <w:rFonts w:ascii="Times" w:hAnsi="Times"/>
                <w:b/>
                <w:bCs/>
                <w:sz w:val="22"/>
              </w:rPr>
              <w:t>2 %</w:t>
            </w:r>
            <w:r>
              <w:rPr>
                <w:rFonts w:ascii="Times" w:hAnsi="Times"/>
                <w:sz w:val="22"/>
              </w:rPr>
              <w:t xml:space="preserve"> des förderbaren Sanierungsbetrages über </w:t>
            </w:r>
            <w:r w:rsidRPr="00DB5270">
              <w:rPr>
                <w:rFonts w:ascii="Times" w:hAnsi="Times"/>
                <w:b/>
                <w:bCs/>
                <w:sz w:val="22"/>
              </w:rPr>
              <w:t>10 Jahre</w:t>
            </w:r>
            <w:r>
              <w:rPr>
                <w:rFonts w:ascii="Times" w:hAnsi="Times"/>
                <w:sz w:val="22"/>
              </w:rPr>
              <w:t xml:space="preserve">. </w:t>
            </w:r>
          </w:p>
          <w:p w14:paraId="639361B8" w14:textId="77777777" w:rsidR="004335FF" w:rsidRDefault="004335FF" w:rsidP="00870555">
            <w:pPr>
              <w:ind w:right="173"/>
              <w:rPr>
                <w:rFonts w:ascii="Times" w:hAnsi="Times"/>
                <w:sz w:val="22"/>
              </w:rPr>
            </w:pPr>
            <w:r w:rsidRPr="00085F91">
              <w:rPr>
                <w:rFonts w:ascii="Times" w:hAnsi="Times"/>
                <w:sz w:val="22"/>
              </w:rPr>
              <w:lastRenderedPageBreak/>
              <w:t xml:space="preserve">Der Sanierungsbetrag wird anhand eines Punktesystems ermittelt. </w:t>
            </w:r>
          </w:p>
          <w:p w14:paraId="2818AFE7" w14:textId="77777777" w:rsidR="00F93DE0" w:rsidRPr="00F93DE0" w:rsidRDefault="004335FF" w:rsidP="00870555">
            <w:pPr>
              <w:ind w:right="173"/>
              <w:rPr>
                <w:rFonts w:ascii="Times" w:hAnsi="Times"/>
                <w:sz w:val="22"/>
              </w:rPr>
            </w:pPr>
            <w:r>
              <w:rPr>
                <w:rFonts w:ascii="Times" w:hAnsi="Times"/>
                <w:sz w:val="22"/>
              </w:rPr>
              <w:t xml:space="preserve">Details Sanieren / Neubau unter diesem </w:t>
            </w:r>
            <w:hyperlink r:id="rId15" w:history="1">
              <w:r w:rsidRPr="001F77E3">
                <w:rPr>
                  <w:rStyle w:val="Hyperlink"/>
                  <w:rFonts w:ascii="Times" w:hAnsi="Times"/>
                  <w:color w:val="00B0F0"/>
                  <w:sz w:val="22"/>
                  <w:u w:val="single"/>
                </w:rPr>
                <w:t>Link</w:t>
              </w:r>
            </w:hyperlink>
            <w:r w:rsidRPr="001F77E3">
              <w:rPr>
                <w:rFonts w:ascii="Times" w:hAnsi="Times"/>
                <w:color w:val="00B0F0"/>
                <w:sz w:val="22"/>
                <w:u w:val="single"/>
              </w:rPr>
              <w:t xml:space="preserve"> </w:t>
            </w:r>
            <w:r>
              <w:rPr>
                <w:rFonts w:ascii="Times" w:hAnsi="Times"/>
                <w:sz w:val="22"/>
              </w:rPr>
              <w:t xml:space="preserve">(S) / </w:t>
            </w:r>
            <w:hyperlink r:id="rId16" w:history="1">
              <w:r w:rsidRPr="001F77E3">
                <w:rPr>
                  <w:rStyle w:val="Hyperlink"/>
                  <w:rFonts w:ascii="Times" w:hAnsi="Times"/>
                  <w:color w:val="00B0F0"/>
                  <w:sz w:val="22"/>
                  <w:u w:val="single"/>
                </w:rPr>
                <w:t>Link</w:t>
              </w:r>
            </w:hyperlink>
            <w:r w:rsidRPr="001F77E3">
              <w:rPr>
                <w:rFonts w:ascii="Times" w:hAnsi="Times"/>
                <w:color w:val="00B0F0"/>
                <w:sz w:val="22"/>
                <w:u w:val="single"/>
              </w:rPr>
              <w:t xml:space="preserve"> </w:t>
            </w:r>
            <w:r>
              <w:rPr>
                <w:rFonts w:ascii="Times" w:hAnsi="Times"/>
                <w:sz w:val="22"/>
              </w:rPr>
              <w:t>(N)</w:t>
            </w:r>
          </w:p>
        </w:tc>
      </w:tr>
      <w:tr w:rsidR="004335FF" w:rsidRPr="00764B9A" w14:paraId="3E488B96" w14:textId="77777777" w:rsidTr="00870555">
        <w:tc>
          <w:tcPr>
            <w:tcW w:w="1965" w:type="dxa"/>
          </w:tcPr>
          <w:p w14:paraId="4BDD4F33" w14:textId="77777777" w:rsidR="004335FF" w:rsidRDefault="004335FF" w:rsidP="00870555">
            <w:pPr>
              <w:ind w:right="173"/>
              <w:rPr>
                <w:rFonts w:ascii="Times" w:hAnsi="Times"/>
                <w:b/>
                <w:sz w:val="22"/>
              </w:rPr>
            </w:pPr>
            <w:r w:rsidRPr="00B36417">
              <w:rPr>
                <w:rFonts w:ascii="Times" w:hAnsi="Times"/>
                <w:b/>
                <w:sz w:val="22"/>
              </w:rPr>
              <w:lastRenderedPageBreak/>
              <w:t>Oberösterreich</w:t>
            </w:r>
          </w:p>
          <w:p w14:paraId="043444DA" w14:textId="77777777" w:rsidR="004335FF" w:rsidRPr="00B36417" w:rsidRDefault="004335FF" w:rsidP="00870555">
            <w:pPr>
              <w:ind w:right="173"/>
              <w:rPr>
                <w:rFonts w:ascii="Times" w:hAnsi="Times"/>
                <w:b/>
                <w:sz w:val="22"/>
              </w:rPr>
            </w:pPr>
            <w:r w:rsidRPr="00A72D2C">
              <w:rPr>
                <w:rFonts w:ascii="Times" w:hAnsi="Times"/>
                <w:b/>
                <w:noProof/>
                <w:sz w:val="22"/>
              </w:rPr>
              <w:drawing>
                <wp:inline distT="0" distB="0" distL="0" distR="0" wp14:anchorId="47FCF17A" wp14:editId="4DC8A09F">
                  <wp:extent cx="762000" cy="800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62000" cy="800100"/>
                          </a:xfrm>
                          <a:prstGeom prst="rect">
                            <a:avLst/>
                          </a:prstGeom>
                        </pic:spPr>
                      </pic:pic>
                    </a:graphicData>
                  </a:graphic>
                </wp:inline>
              </w:drawing>
            </w:r>
          </w:p>
        </w:tc>
        <w:tc>
          <w:tcPr>
            <w:tcW w:w="8349" w:type="dxa"/>
          </w:tcPr>
          <w:p w14:paraId="64421332" w14:textId="77777777" w:rsidR="004335FF" w:rsidRPr="00FF3A3A" w:rsidRDefault="004335FF" w:rsidP="00870555">
            <w:pPr>
              <w:ind w:right="173"/>
              <w:rPr>
                <w:rFonts w:ascii="Times" w:hAnsi="Times"/>
                <w:sz w:val="22"/>
              </w:rPr>
            </w:pPr>
            <w:r>
              <w:rPr>
                <w:rFonts w:ascii="Times" w:hAnsi="Times"/>
                <w:sz w:val="22"/>
              </w:rPr>
              <w:t xml:space="preserve">Neuanlage oder Erneuerung von </w:t>
            </w:r>
            <w:r w:rsidRPr="00FF3A3A">
              <w:rPr>
                <w:rFonts w:ascii="Times" w:hAnsi="Times"/>
                <w:sz w:val="22"/>
              </w:rPr>
              <w:t xml:space="preserve">Heizungsanlagen mit festen biogenen Brennstoffen; max. Förderhöhe: </w:t>
            </w:r>
            <w:r w:rsidRPr="00FF3A3A">
              <w:rPr>
                <w:rFonts w:ascii="Times" w:hAnsi="Times"/>
                <w:b/>
                <w:sz w:val="22"/>
              </w:rPr>
              <w:t xml:space="preserve">50% </w:t>
            </w:r>
            <w:r w:rsidRPr="00FF3A3A">
              <w:rPr>
                <w:rFonts w:ascii="Times" w:hAnsi="Times"/>
                <w:sz w:val="22"/>
              </w:rPr>
              <w:t>der Investitionskosten; max. Förderbetrag</w:t>
            </w:r>
            <w:r>
              <w:rPr>
                <w:rFonts w:ascii="Times" w:hAnsi="Times"/>
                <w:sz w:val="22"/>
              </w:rPr>
              <w:t xml:space="preserve"> abhängig ob Neubau/Erneuerung oder Umstellung fossil auf Ökoenergie</w:t>
            </w:r>
            <w:r w:rsidRPr="00FF3A3A">
              <w:rPr>
                <w:rFonts w:ascii="Times" w:hAnsi="Times"/>
                <w:sz w:val="22"/>
              </w:rPr>
              <w:t>:</w:t>
            </w:r>
          </w:p>
          <w:p w14:paraId="55E74140" w14:textId="77777777" w:rsidR="004335FF" w:rsidRPr="00FF3A3A" w:rsidRDefault="004335FF" w:rsidP="004335FF">
            <w:pPr>
              <w:pStyle w:val="Listenabsatz"/>
              <w:numPr>
                <w:ilvl w:val="0"/>
                <w:numId w:val="1"/>
              </w:numPr>
              <w:ind w:right="173"/>
            </w:pPr>
            <w:r w:rsidRPr="00FF3A3A">
              <w:t xml:space="preserve">Pellets- und Hackgutheizungen: </w:t>
            </w:r>
            <w:r>
              <w:t xml:space="preserve">max. </w:t>
            </w:r>
            <w:r w:rsidRPr="00FF3A3A">
              <w:rPr>
                <w:b/>
              </w:rPr>
              <w:t>€ 2.</w:t>
            </w:r>
            <w:r>
              <w:rPr>
                <w:b/>
              </w:rPr>
              <w:t>9</w:t>
            </w:r>
            <w:r w:rsidRPr="00FF3A3A">
              <w:rPr>
                <w:b/>
              </w:rPr>
              <w:t xml:space="preserve">00,- </w:t>
            </w:r>
          </w:p>
          <w:p w14:paraId="23BF1728" w14:textId="77777777" w:rsidR="004335FF" w:rsidRPr="00FF3A3A" w:rsidRDefault="004335FF" w:rsidP="004335FF">
            <w:pPr>
              <w:pStyle w:val="Listenabsatz"/>
              <w:numPr>
                <w:ilvl w:val="0"/>
                <w:numId w:val="1"/>
              </w:numPr>
              <w:ind w:right="173"/>
            </w:pPr>
            <w:r w:rsidRPr="00FF3A3A">
              <w:t xml:space="preserve">Scheitholzheizungen: </w:t>
            </w:r>
            <w:r>
              <w:t xml:space="preserve">max. </w:t>
            </w:r>
            <w:r>
              <w:rPr>
                <w:b/>
              </w:rPr>
              <w:t>€ 1.7</w:t>
            </w:r>
            <w:r w:rsidRPr="00FF3A3A">
              <w:rPr>
                <w:b/>
              </w:rPr>
              <w:t xml:space="preserve">00,- </w:t>
            </w:r>
          </w:p>
          <w:p w14:paraId="74E82A60" w14:textId="77777777" w:rsidR="004335FF" w:rsidRPr="00417D63" w:rsidRDefault="004335FF" w:rsidP="004335FF">
            <w:pPr>
              <w:pStyle w:val="Listenabsatz"/>
              <w:numPr>
                <w:ilvl w:val="0"/>
                <w:numId w:val="1"/>
              </w:numPr>
              <w:ind w:right="173"/>
            </w:pPr>
            <w:r w:rsidRPr="00FF3A3A">
              <w:t xml:space="preserve">landwirtschaftliche Hackgutheizungen: </w:t>
            </w:r>
            <w:r>
              <w:t xml:space="preserve">max. </w:t>
            </w:r>
            <w:r w:rsidRPr="00FF3A3A">
              <w:rPr>
                <w:b/>
              </w:rPr>
              <w:t>€ 3.200,-</w:t>
            </w:r>
          </w:p>
          <w:p w14:paraId="09AEA4B5" w14:textId="77777777" w:rsidR="004335FF" w:rsidRPr="00417D63" w:rsidRDefault="004335FF" w:rsidP="004335FF">
            <w:pPr>
              <w:pStyle w:val="Listenabsatz"/>
              <w:numPr>
                <w:ilvl w:val="0"/>
                <w:numId w:val="1"/>
              </w:numPr>
              <w:ind w:right="173"/>
            </w:pPr>
            <w:r w:rsidRPr="00417D63">
              <w:t>Solare Hackguttrocknungsanlagen und Kleinpelletieranlagen: max.</w:t>
            </w:r>
            <w:r>
              <w:rPr>
                <w:b/>
              </w:rPr>
              <w:t xml:space="preserve"> € 2.700,-</w:t>
            </w:r>
          </w:p>
          <w:p w14:paraId="0BF162BD" w14:textId="77777777" w:rsidR="004335FF" w:rsidRPr="001F77E3" w:rsidRDefault="004335FF" w:rsidP="004335FF">
            <w:pPr>
              <w:pStyle w:val="Listenabsatz"/>
              <w:numPr>
                <w:ilvl w:val="0"/>
                <w:numId w:val="1"/>
              </w:numPr>
              <w:ind w:right="173"/>
            </w:pPr>
            <w:r w:rsidRPr="00417D63">
              <w:t>Bonus-Förderung für Private: Biomasse-Stirling-Heizanlagen:</w:t>
            </w:r>
            <w:r>
              <w:rPr>
                <w:b/>
              </w:rPr>
              <w:t xml:space="preserve"> € 5.000,-</w:t>
            </w:r>
          </w:p>
          <w:p w14:paraId="46659BDD" w14:textId="77777777" w:rsidR="004335FF" w:rsidRPr="001F77E3" w:rsidRDefault="004335FF" w:rsidP="004335FF">
            <w:pPr>
              <w:pStyle w:val="Listenabsatz"/>
              <w:numPr>
                <w:ilvl w:val="0"/>
                <w:numId w:val="1"/>
              </w:numPr>
              <w:ind w:right="173"/>
            </w:pPr>
            <w:r w:rsidRPr="001F77E3">
              <w:t xml:space="preserve">Bonus-Öltankentsorgung: </w:t>
            </w:r>
            <w:r w:rsidRPr="00825FDA">
              <w:rPr>
                <w:b/>
              </w:rPr>
              <w:t>€ 1.000,-</w:t>
            </w:r>
            <w:r w:rsidRPr="001F77E3">
              <w:t xml:space="preserve"> (max. 100% d. IK.)</w:t>
            </w:r>
          </w:p>
          <w:p w14:paraId="431957C2" w14:textId="77777777" w:rsidR="004335FF" w:rsidRPr="00417D63" w:rsidRDefault="004335FF" w:rsidP="00870555">
            <w:pPr>
              <w:ind w:right="173"/>
            </w:pPr>
            <w:r w:rsidRPr="00085F91">
              <w:rPr>
                <w:rFonts w:ascii="Times" w:eastAsiaTheme="minorEastAsia" w:hAnsi="Times"/>
                <w:sz w:val="22"/>
                <w:lang w:eastAsia="de-DE"/>
              </w:rPr>
              <w:t xml:space="preserve">Details unter diesem </w:t>
            </w:r>
            <w:hyperlink r:id="rId18" w:history="1">
              <w:r w:rsidRPr="00EE25CD">
                <w:rPr>
                  <w:rStyle w:val="Hyperlink"/>
                  <w:rFonts w:ascii="Times" w:eastAsiaTheme="minorEastAsia" w:hAnsi="Times"/>
                  <w:color w:val="00B0F0"/>
                  <w:sz w:val="22"/>
                  <w:u w:val="single"/>
                  <w:lang w:eastAsia="de-DE"/>
                </w:rPr>
                <w:t>Link</w:t>
              </w:r>
            </w:hyperlink>
            <w:r w:rsidRPr="003F7F7E">
              <w:rPr>
                <w:rFonts w:ascii="Times" w:eastAsiaTheme="minorEastAsia" w:hAnsi="Times"/>
                <w:color w:val="0070C0"/>
                <w:sz w:val="22"/>
                <w:lang w:eastAsia="de-DE"/>
              </w:rPr>
              <w:t xml:space="preserve"> </w:t>
            </w:r>
            <w:r w:rsidRPr="00085F91">
              <w:rPr>
                <w:rFonts w:ascii="Times" w:eastAsiaTheme="minorEastAsia" w:hAnsi="Times"/>
                <w:sz w:val="22"/>
                <w:lang w:eastAsia="de-DE"/>
              </w:rPr>
              <w:t>ersichtlich.</w:t>
            </w:r>
          </w:p>
        </w:tc>
      </w:tr>
      <w:tr w:rsidR="004335FF" w:rsidRPr="00764B9A" w14:paraId="6DDDDB9E" w14:textId="77777777" w:rsidTr="00870555">
        <w:tc>
          <w:tcPr>
            <w:tcW w:w="1965" w:type="dxa"/>
          </w:tcPr>
          <w:p w14:paraId="001FD8BB" w14:textId="77777777" w:rsidR="004335FF" w:rsidRDefault="004335FF" w:rsidP="00870555">
            <w:pPr>
              <w:ind w:right="173"/>
              <w:rPr>
                <w:rFonts w:ascii="Times" w:hAnsi="Times"/>
                <w:b/>
                <w:sz w:val="22"/>
              </w:rPr>
            </w:pPr>
            <w:r w:rsidRPr="00B36417">
              <w:rPr>
                <w:rFonts w:ascii="Times" w:hAnsi="Times"/>
                <w:b/>
                <w:sz w:val="22"/>
              </w:rPr>
              <w:t>Salzburg</w:t>
            </w:r>
          </w:p>
          <w:p w14:paraId="60CA2C3D" w14:textId="77777777" w:rsidR="004335FF" w:rsidRPr="00B36417" w:rsidRDefault="004335FF" w:rsidP="00870555">
            <w:pPr>
              <w:ind w:right="173"/>
              <w:rPr>
                <w:rFonts w:ascii="Times" w:hAnsi="Times"/>
                <w:b/>
                <w:sz w:val="22"/>
              </w:rPr>
            </w:pPr>
            <w:r w:rsidRPr="00A72D2C">
              <w:rPr>
                <w:rFonts w:ascii="Times" w:hAnsi="Times"/>
                <w:b/>
                <w:noProof/>
                <w:sz w:val="22"/>
              </w:rPr>
              <w:drawing>
                <wp:inline distT="0" distB="0" distL="0" distR="0" wp14:anchorId="24C6E2A8" wp14:editId="7CF21A46">
                  <wp:extent cx="787400" cy="8382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87400" cy="838200"/>
                          </a:xfrm>
                          <a:prstGeom prst="rect">
                            <a:avLst/>
                          </a:prstGeom>
                        </pic:spPr>
                      </pic:pic>
                    </a:graphicData>
                  </a:graphic>
                </wp:inline>
              </w:drawing>
            </w:r>
          </w:p>
        </w:tc>
        <w:tc>
          <w:tcPr>
            <w:tcW w:w="8349" w:type="dxa"/>
          </w:tcPr>
          <w:p w14:paraId="471003BE" w14:textId="77777777" w:rsidR="004E5771" w:rsidRPr="0083400C" w:rsidRDefault="004335FF" w:rsidP="00870555">
            <w:pPr>
              <w:ind w:right="173"/>
              <w:rPr>
                <w:rFonts w:ascii="Times" w:hAnsi="Times"/>
                <w:sz w:val="22"/>
                <w:szCs w:val="22"/>
              </w:rPr>
            </w:pPr>
            <w:r w:rsidRPr="0083400C">
              <w:rPr>
                <w:rFonts w:ascii="Times" w:hAnsi="Times"/>
                <w:sz w:val="22"/>
                <w:szCs w:val="22"/>
              </w:rPr>
              <w:t xml:space="preserve">Die Förderung erfolgt in Form eines nicht rückzahlbaren Zuschusses und ist auf maximal </w:t>
            </w:r>
            <w:r w:rsidRPr="003D2115">
              <w:rPr>
                <w:rFonts w:ascii="Times" w:hAnsi="Times"/>
                <w:b/>
                <w:sz w:val="22"/>
                <w:szCs w:val="22"/>
              </w:rPr>
              <w:t>30 %</w:t>
            </w:r>
            <w:r w:rsidRPr="0083400C">
              <w:rPr>
                <w:rFonts w:ascii="Times" w:hAnsi="Times"/>
                <w:sz w:val="22"/>
                <w:szCs w:val="22"/>
              </w:rPr>
              <w:t xml:space="preserve"> der gesamten förderungsrelevanten Investitionskosten begrenzt. </w:t>
            </w:r>
          </w:p>
          <w:p w14:paraId="4C6C613F" w14:textId="77777777" w:rsidR="004E5771" w:rsidRDefault="004E5771" w:rsidP="004335FF">
            <w:pPr>
              <w:pStyle w:val="Listenabsatz"/>
              <w:numPr>
                <w:ilvl w:val="0"/>
                <w:numId w:val="5"/>
              </w:numPr>
              <w:ind w:right="173"/>
            </w:pPr>
            <w:r>
              <w:t xml:space="preserve">Pelletheizung: max. </w:t>
            </w:r>
            <w:r w:rsidRPr="004E5771">
              <w:rPr>
                <w:b/>
                <w:bCs/>
              </w:rPr>
              <w:t>€ 3.000,-</w:t>
            </w:r>
            <w:r>
              <w:t xml:space="preserve">; Hackgutheizung: </w:t>
            </w:r>
            <w:r w:rsidRPr="004E5771">
              <w:rPr>
                <w:b/>
                <w:bCs/>
              </w:rPr>
              <w:t>€ 4.500,-</w:t>
            </w:r>
            <w:r>
              <w:t xml:space="preserve">; Scheitholzkessel mit Pufferspeicher: </w:t>
            </w:r>
            <w:r w:rsidRPr="004E5771">
              <w:rPr>
                <w:b/>
                <w:bCs/>
              </w:rPr>
              <w:t>€ 2.500,-</w:t>
            </w:r>
            <w:r>
              <w:t xml:space="preserve"> </w:t>
            </w:r>
          </w:p>
          <w:p w14:paraId="74DB83D4" w14:textId="77777777" w:rsidR="004E5771" w:rsidRDefault="004335FF" w:rsidP="004E5771">
            <w:pPr>
              <w:pStyle w:val="Listenabsatz"/>
              <w:numPr>
                <w:ilvl w:val="0"/>
                <w:numId w:val="5"/>
              </w:numPr>
              <w:ind w:right="173"/>
            </w:pPr>
            <w:r>
              <w:t xml:space="preserve">Biomasse - Fernwärmeanschluss und Heizanlagen: </w:t>
            </w:r>
            <w:r w:rsidRPr="003D2115">
              <w:rPr>
                <w:b/>
              </w:rPr>
              <w:t>€ 2.</w:t>
            </w:r>
            <w:r w:rsidR="004E5771">
              <w:rPr>
                <w:b/>
              </w:rPr>
              <w:t>5</w:t>
            </w:r>
            <w:r w:rsidRPr="003D2115">
              <w:rPr>
                <w:b/>
              </w:rPr>
              <w:t>00,-</w:t>
            </w:r>
            <w:r>
              <w:t xml:space="preserve"> bis </w:t>
            </w:r>
            <w:r w:rsidRPr="003D2115">
              <w:rPr>
                <w:b/>
              </w:rPr>
              <w:t>€ 4.500,-</w:t>
            </w:r>
          </w:p>
          <w:p w14:paraId="245D42F8" w14:textId="77777777" w:rsidR="004335FF" w:rsidRDefault="004335FF" w:rsidP="004335FF">
            <w:pPr>
              <w:pStyle w:val="Listenabsatz"/>
              <w:numPr>
                <w:ilvl w:val="0"/>
                <w:numId w:val="5"/>
              </w:numPr>
              <w:ind w:right="173"/>
            </w:pPr>
            <w:r>
              <w:t xml:space="preserve">Thermische Solaranlagen: </w:t>
            </w:r>
            <w:r w:rsidRPr="00D5228A">
              <w:t>max.</w:t>
            </w:r>
            <w:r>
              <w:t xml:space="preserve"> € </w:t>
            </w:r>
            <w:r w:rsidRPr="003D2115">
              <w:rPr>
                <w:b/>
              </w:rPr>
              <w:t>300,- /</w:t>
            </w:r>
            <w:r>
              <w:rPr>
                <w:b/>
              </w:rPr>
              <w:t xml:space="preserve"> </w:t>
            </w:r>
            <w:r w:rsidRPr="003D2115">
              <w:rPr>
                <w:b/>
              </w:rPr>
              <w:t>m</w:t>
            </w:r>
            <w:r w:rsidRPr="003D2115">
              <w:rPr>
                <w:b/>
                <w:vertAlign w:val="superscript"/>
              </w:rPr>
              <w:t>2</w:t>
            </w:r>
          </w:p>
          <w:p w14:paraId="28DEEDC0" w14:textId="77777777" w:rsidR="004335FF" w:rsidRPr="00A129D5" w:rsidRDefault="004335FF" w:rsidP="004335FF">
            <w:pPr>
              <w:pStyle w:val="Listenabsatz"/>
              <w:numPr>
                <w:ilvl w:val="0"/>
                <w:numId w:val="5"/>
              </w:numPr>
              <w:ind w:right="173"/>
            </w:pPr>
            <w:r w:rsidRPr="00A129D5">
              <w:t xml:space="preserve">Photovoltaik  max. </w:t>
            </w:r>
            <w:r w:rsidRPr="00A129D5">
              <w:rPr>
                <w:b/>
              </w:rPr>
              <w:t xml:space="preserve">€ 900,- </w:t>
            </w:r>
            <w:r w:rsidRPr="00A129D5">
              <w:t>/ kWp, max. 15 kWp</w:t>
            </w:r>
          </w:p>
          <w:p w14:paraId="0B53A76F" w14:textId="77777777" w:rsidR="004335FF" w:rsidRDefault="004335FF" w:rsidP="004335FF">
            <w:pPr>
              <w:pStyle w:val="Listenabsatz"/>
              <w:numPr>
                <w:ilvl w:val="0"/>
                <w:numId w:val="5"/>
              </w:numPr>
              <w:ind w:right="173"/>
            </w:pPr>
            <w:r>
              <w:t xml:space="preserve">Speicherförderung: </w:t>
            </w:r>
            <w:r>
              <w:rPr>
                <w:b/>
              </w:rPr>
              <w:t xml:space="preserve"> </w:t>
            </w:r>
            <w:r w:rsidRPr="0030133C">
              <w:t>max.</w:t>
            </w:r>
            <w:r>
              <w:t xml:space="preserve"> </w:t>
            </w:r>
            <w:r w:rsidRPr="003D2115">
              <w:rPr>
                <w:b/>
              </w:rPr>
              <w:t xml:space="preserve">€ 600,- </w:t>
            </w:r>
            <w:r w:rsidRPr="00D5228A">
              <w:t>/ kWh</w:t>
            </w:r>
          </w:p>
          <w:p w14:paraId="234B0825" w14:textId="77777777" w:rsidR="004335FF" w:rsidRPr="004E5771" w:rsidRDefault="004335FF" w:rsidP="004335FF">
            <w:pPr>
              <w:pStyle w:val="Listenabsatz"/>
              <w:numPr>
                <w:ilvl w:val="0"/>
                <w:numId w:val="5"/>
              </w:numPr>
              <w:ind w:right="173"/>
            </w:pPr>
            <w:r>
              <w:t xml:space="preserve">Boni möglich wie für Pufferspeicher € </w:t>
            </w:r>
            <w:r w:rsidRPr="00403EEA">
              <w:rPr>
                <w:b/>
              </w:rPr>
              <w:t xml:space="preserve">500,- </w:t>
            </w:r>
          </w:p>
          <w:p w14:paraId="10843D79" w14:textId="77777777" w:rsidR="004E5771" w:rsidRPr="00EE25CD" w:rsidRDefault="004E5771" w:rsidP="004335FF">
            <w:pPr>
              <w:pStyle w:val="Listenabsatz"/>
              <w:numPr>
                <w:ilvl w:val="0"/>
                <w:numId w:val="5"/>
              </w:numPr>
              <w:ind w:right="173"/>
            </w:pPr>
            <w:r w:rsidRPr="004E5771">
              <w:rPr>
                <w:bCs/>
              </w:rPr>
              <w:t>Boni für empfohlene Energieberatung</w:t>
            </w:r>
            <w:r>
              <w:rPr>
                <w:b/>
              </w:rPr>
              <w:t>: € 100,-</w:t>
            </w:r>
          </w:p>
          <w:p w14:paraId="3C37101E" w14:textId="77777777" w:rsidR="004E5771" w:rsidRDefault="004E5771" w:rsidP="00870555">
            <w:pPr>
              <w:ind w:right="173"/>
              <w:rPr>
                <w:rFonts w:ascii="Times" w:hAnsi="Times"/>
                <w:sz w:val="22"/>
              </w:rPr>
            </w:pPr>
            <w:r>
              <w:rPr>
                <w:rFonts w:ascii="Times" w:hAnsi="Times"/>
                <w:sz w:val="22"/>
              </w:rPr>
              <w:t>Sonderförderung bei Austausch einer fossilen Heizung (auch Strom Direktheizung) oder einer alten Biomasseheizung (2002 oder älter)</w:t>
            </w:r>
            <w:r w:rsidR="00A129D5">
              <w:rPr>
                <w:rFonts w:ascii="Times" w:hAnsi="Times"/>
                <w:sz w:val="22"/>
              </w:rPr>
              <w:t xml:space="preserve"> max. 100 % der I.K.:</w:t>
            </w:r>
          </w:p>
          <w:p w14:paraId="27721B7A" w14:textId="77777777" w:rsidR="00A129D5" w:rsidRPr="00A129D5" w:rsidRDefault="00A129D5" w:rsidP="00A129D5">
            <w:pPr>
              <w:pStyle w:val="Listenabsatz"/>
              <w:numPr>
                <w:ilvl w:val="0"/>
                <w:numId w:val="5"/>
              </w:numPr>
              <w:ind w:right="173"/>
              <w:rPr>
                <w:b/>
              </w:rPr>
            </w:pPr>
            <w:r>
              <w:rPr>
                <w:bCs/>
              </w:rPr>
              <w:t xml:space="preserve">Bonus, Verwendung von Pufferspeicher VORAUSSETZUNG (Wenn Bonusförderung kein Pufferspeicherbonus): </w:t>
            </w:r>
            <w:r w:rsidRPr="00A129D5">
              <w:rPr>
                <w:b/>
              </w:rPr>
              <w:t>€ 2.020,-</w:t>
            </w:r>
          </w:p>
          <w:p w14:paraId="5F94E339" w14:textId="77777777" w:rsidR="004335FF" w:rsidRPr="00417D63" w:rsidRDefault="004335FF" w:rsidP="00870555">
            <w:pPr>
              <w:ind w:right="173"/>
            </w:pPr>
            <w:r>
              <w:rPr>
                <w:rFonts w:ascii="Times" w:hAnsi="Times"/>
                <w:sz w:val="22"/>
              </w:rPr>
              <w:t xml:space="preserve">Details unter diesem </w:t>
            </w:r>
            <w:hyperlink r:id="rId20" w:history="1">
              <w:r w:rsidRPr="00736E52">
                <w:rPr>
                  <w:rStyle w:val="Hyperlink"/>
                  <w:rFonts w:ascii="Times" w:hAnsi="Times"/>
                  <w:color w:val="0070C0"/>
                  <w:sz w:val="22"/>
                  <w:u w:val="single"/>
                </w:rPr>
                <w:t>Link</w:t>
              </w:r>
            </w:hyperlink>
            <w:r>
              <w:rPr>
                <w:rFonts w:ascii="Times" w:hAnsi="Times"/>
                <w:sz w:val="22"/>
              </w:rPr>
              <w:t xml:space="preserve"> ersichtlich.</w:t>
            </w:r>
          </w:p>
        </w:tc>
      </w:tr>
      <w:tr w:rsidR="004335FF" w:rsidRPr="00764B9A" w14:paraId="5B53EEB7" w14:textId="77777777" w:rsidTr="00870555">
        <w:tc>
          <w:tcPr>
            <w:tcW w:w="1965" w:type="dxa"/>
          </w:tcPr>
          <w:p w14:paraId="733F3B66" w14:textId="77777777" w:rsidR="004335FF" w:rsidRDefault="004335FF" w:rsidP="00870555">
            <w:pPr>
              <w:ind w:right="173"/>
              <w:rPr>
                <w:rFonts w:ascii="Times" w:hAnsi="Times"/>
                <w:b/>
                <w:sz w:val="22"/>
              </w:rPr>
            </w:pPr>
            <w:r w:rsidRPr="00B36417">
              <w:rPr>
                <w:rFonts w:ascii="Times" w:hAnsi="Times"/>
                <w:b/>
                <w:sz w:val="22"/>
              </w:rPr>
              <w:t>Steiermark</w:t>
            </w:r>
          </w:p>
          <w:p w14:paraId="5BD6B3C3" w14:textId="77777777" w:rsidR="004335FF" w:rsidRPr="00B36417" w:rsidRDefault="004335FF" w:rsidP="00870555">
            <w:pPr>
              <w:ind w:right="173"/>
              <w:rPr>
                <w:rFonts w:ascii="Times" w:hAnsi="Times"/>
                <w:b/>
                <w:sz w:val="22"/>
              </w:rPr>
            </w:pPr>
            <w:r w:rsidRPr="00A72D2C">
              <w:rPr>
                <w:rFonts w:ascii="Times" w:hAnsi="Times"/>
                <w:b/>
                <w:noProof/>
                <w:sz w:val="22"/>
              </w:rPr>
              <w:drawing>
                <wp:inline distT="0" distB="0" distL="0" distR="0" wp14:anchorId="6EE6E810" wp14:editId="2B6198BD">
                  <wp:extent cx="762000" cy="8255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62000" cy="825500"/>
                          </a:xfrm>
                          <a:prstGeom prst="rect">
                            <a:avLst/>
                          </a:prstGeom>
                        </pic:spPr>
                      </pic:pic>
                    </a:graphicData>
                  </a:graphic>
                </wp:inline>
              </w:drawing>
            </w:r>
          </w:p>
        </w:tc>
        <w:tc>
          <w:tcPr>
            <w:tcW w:w="8349" w:type="dxa"/>
          </w:tcPr>
          <w:p w14:paraId="56BB157B" w14:textId="77777777" w:rsidR="00A80B91" w:rsidRPr="007F7604" w:rsidRDefault="00A80B91" w:rsidP="00A80B91">
            <w:pPr>
              <w:spacing w:before="100" w:beforeAutospacing="1" w:after="100" w:afterAutospacing="1"/>
              <w:rPr>
                <w:rFonts w:ascii="Times New Roman" w:eastAsia="Times New Roman" w:hAnsi="Times New Roman" w:cs="Times New Roman"/>
                <w:sz w:val="24"/>
              </w:rPr>
            </w:pPr>
            <w:r w:rsidRPr="009471E8">
              <w:rPr>
                <w:rFonts w:ascii="Times" w:hAnsi="Times"/>
                <w:sz w:val="22"/>
              </w:rPr>
              <w:t>Die neuen Förderungsbestimmungen werden derzeit überarbeitet und mit den zu erwartenden Bundesförderungen abgestimmt. Die überarbeiteten Förderungen werden spätestens mit 1. Juni 2020 wirksam werden. Um eine Förderkontinuität zu gewährleisten, hat sich das Land Steiermark entschlossen, Registrierungen für die</w:t>
            </w:r>
            <w:r w:rsidRPr="007F7604">
              <w:rPr>
                <w:rFonts w:ascii="Times New Roman" w:eastAsia="Times New Roman" w:hAnsi="Times New Roman" w:cs="Times New Roman"/>
                <w:sz w:val="24"/>
              </w:rPr>
              <w:t xml:space="preserve"> </w:t>
            </w:r>
            <w:r w:rsidRPr="009471E8">
              <w:rPr>
                <w:rFonts w:ascii="Times" w:hAnsi="Times"/>
                <w:sz w:val="22"/>
              </w:rPr>
              <w:t>neuen Förderungen auch rückwirkend ab dem 1. März 2020 zu berücksichtigen. Damit ist gewährleistet, dass auch förderbare Rechnungen für Maßnahmen, die ab dem 1. März 2020 gesetzt werden, eingereicht werden können.</w:t>
            </w:r>
          </w:p>
          <w:p w14:paraId="62340120" w14:textId="77777777" w:rsidR="00A80B91" w:rsidRPr="00A80B91" w:rsidRDefault="00A80B91" w:rsidP="009471E8">
            <w:pPr>
              <w:rPr>
                <w:rFonts w:ascii="Times" w:hAnsi="Times"/>
                <w:sz w:val="22"/>
              </w:rPr>
            </w:pPr>
            <w:r>
              <w:rPr>
                <w:rFonts w:ascii="Times" w:hAnsi="Times"/>
                <w:sz w:val="22"/>
              </w:rPr>
              <w:t xml:space="preserve">Förderungen für Fernwärmeanschlüsse: </w:t>
            </w:r>
            <w:r w:rsidRPr="00765664">
              <w:t xml:space="preserve"> </w:t>
            </w:r>
            <w:r w:rsidRPr="00A80B91">
              <w:rPr>
                <w:rFonts w:ascii="Times" w:hAnsi="Times"/>
                <w:sz w:val="22"/>
              </w:rPr>
              <w:t>Der Inbetriebnahme-Zeitpunkt von Anschlüssen für die rechtsverbindliche Inanspruchnahme der Förderung muss zwischen dem 01.01.2018 und 30.06.2020 liegen.</w:t>
            </w:r>
          </w:p>
          <w:p w14:paraId="001C029E" w14:textId="77777777" w:rsidR="00A80B91" w:rsidRPr="009471E8" w:rsidRDefault="00A80B91" w:rsidP="009471E8">
            <w:pPr>
              <w:pStyle w:val="Listenabsatz"/>
              <w:numPr>
                <w:ilvl w:val="0"/>
                <w:numId w:val="2"/>
              </w:numPr>
              <w:ind w:right="173"/>
              <w:rPr>
                <w:szCs w:val="22"/>
              </w:rPr>
            </w:pPr>
            <w:r>
              <w:rPr>
                <w:szCs w:val="22"/>
              </w:rPr>
              <w:t xml:space="preserve">Fördersatz Umstellung auf Fern-/Nahwärme </w:t>
            </w:r>
            <w:r w:rsidR="009471E8">
              <w:rPr>
                <w:szCs w:val="22"/>
              </w:rPr>
              <w:t xml:space="preserve">sowie Neubau </w:t>
            </w:r>
            <w:r>
              <w:rPr>
                <w:szCs w:val="22"/>
              </w:rPr>
              <w:t xml:space="preserve">für Eigenheim </w:t>
            </w:r>
            <w:r w:rsidR="009471E8">
              <w:rPr>
                <w:szCs w:val="22"/>
              </w:rPr>
              <w:t>(</w:t>
            </w:r>
            <w:r>
              <w:rPr>
                <w:szCs w:val="22"/>
              </w:rPr>
              <w:t>Ein und Zweifamilienwohnhäuser</w:t>
            </w:r>
            <w:r w:rsidR="009471E8">
              <w:rPr>
                <w:szCs w:val="22"/>
              </w:rPr>
              <w:t>)</w:t>
            </w:r>
            <w:r>
              <w:rPr>
                <w:szCs w:val="22"/>
              </w:rPr>
              <w:t xml:space="preserve">: max. </w:t>
            </w:r>
            <w:r w:rsidRPr="00A80B91">
              <w:rPr>
                <w:b/>
                <w:bCs/>
                <w:szCs w:val="22"/>
              </w:rPr>
              <w:t>€ 1.200,-</w:t>
            </w:r>
            <w:r>
              <w:rPr>
                <w:szCs w:val="22"/>
              </w:rPr>
              <w:t xml:space="preserve"> </w:t>
            </w:r>
          </w:p>
          <w:p w14:paraId="4D9D20A5" w14:textId="77777777" w:rsidR="004335FF" w:rsidRDefault="004335FF" w:rsidP="00870555">
            <w:pPr>
              <w:ind w:right="173"/>
              <w:rPr>
                <w:rFonts w:ascii="Times" w:hAnsi="Times"/>
                <w:sz w:val="22"/>
                <w:szCs w:val="22"/>
              </w:rPr>
            </w:pPr>
            <w:r>
              <w:rPr>
                <w:rFonts w:ascii="Times" w:hAnsi="Times"/>
                <w:sz w:val="22"/>
                <w:szCs w:val="22"/>
              </w:rPr>
              <w:t xml:space="preserve">Details unter diesem </w:t>
            </w:r>
            <w:hyperlink r:id="rId22" w:history="1">
              <w:r w:rsidRPr="00736E52">
                <w:rPr>
                  <w:rStyle w:val="Hyperlink"/>
                  <w:rFonts w:ascii="Times" w:hAnsi="Times"/>
                  <w:color w:val="00B0F0"/>
                  <w:sz w:val="22"/>
                  <w:szCs w:val="22"/>
                  <w:u w:val="single"/>
                </w:rPr>
                <w:t>Link</w:t>
              </w:r>
            </w:hyperlink>
            <w:r>
              <w:rPr>
                <w:rFonts w:ascii="Times" w:hAnsi="Times"/>
                <w:sz w:val="22"/>
                <w:szCs w:val="22"/>
              </w:rPr>
              <w:t xml:space="preserve"> ersichtlich.</w:t>
            </w:r>
          </w:p>
          <w:p w14:paraId="1FFA2B18" w14:textId="77777777" w:rsidR="00F93DE0" w:rsidRPr="00D5228A" w:rsidRDefault="00F93DE0" w:rsidP="00870555">
            <w:pPr>
              <w:ind w:right="173"/>
              <w:rPr>
                <w:rFonts w:ascii="Times" w:hAnsi="Times"/>
                <w:sz w:val="22"/>
                <w:szCs w:val="22"/>
              </w:rPr>
            </w:pPr>
          </w:p>
        </w:tc>
      </w:tr>
      <w:tr w:rsidR="004335FF" w:rsidRPr="00764B9A" w14:paraId="30FDDB3F" w14:textId="77777777" w:rsidTr="00870555">
        <w:tc>
          <w:tcPr>
            <w:tcW w:w="1965" w:type="dxa"/>
          </w:tcPr>
          <w:p w14:paraId="3DF9C8C2" w14:textId="77777777" w:rsidR="004335FF" w:rsidRDefault="004335FF" w:rsidP="00870555">
            <w:pPr>
              <w:ind w:right="173"/>
              <w:rPr>
                <w:rFonts w:ascii="Times" w:hAnsi="Times"/>
                <w:b/>
                <w:sz w:val="22"/>
              </w:rPr>
            </w:pPr>
            <w:r w:rsidRPr="00B36417">
              <w:rPr>
                <w:rFonts w:ascii="Times" w:hAnsi="Times"/>
                <w:b/>
                <w:sz w:val="22"/>
              </w:rPr>
              <w:t>Tirol</w:t>
            </w:r>
          </w:p>
          <w:p w14:paraId="329791FE" w14:textId="77777777" w:rsidR="004335FF" w:rsidRPr="00B36417" w:rsidRDefault="004335FF" w:rsidP="00870555">
            <w:pPr>
              <w:ind w:right="173"/>
              <w:rPr>
                <w:rFonts w:ascii="Times" w:hAnsi="Times"/>
                <w:b/>
                <w:sz w:val="22"/>
              </w:rPr>
            </w:pPr>
            <w:r w:rsidRPr="00A72D2C">
              <w:rPr>
                <w:rFonts w:ascii="Times" w:hAnsi="Times"/>
                <w:b/>
                <w:noProof/>
                <w:sz w:val="22"/>
              </w:rPr>
              <w:lastRenderedPageBreak/>
              <w:drawing>
                <wp:inline distT="0" distB="0" distL="0" distR="0" wp14:anchorId="5A2D45ED" wp14:editId="15E088F1">
                  <wp:extent cx="749300" cy="8509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49300" cy="850900"/>
                          </a:xfrm>
                          <a:prstGeom prst="rect">
                            <a:avLst/>
                          </a:prstGeom>
                        </pic:spPr>
                      </pic:pic>
                    </a:graphicData>
                  </a:graphic>
                </wp:inline>
              </w:drawing>
            </w:r>
          </w:p>
        </w:tc>
        <w:tc>
          <w:tcPr>
            <w:tcW w:w="8349" w:type="dxa"/>
          </w:tcPr>
          <w:p w14:paraId="7BC89D1A" w14:textId="77777777" w:rsidR="004335FF" w:rsidRPr="0030133C" w:rsidRDefault="004335FF" w:rsidP="00870555">
            <w:pPr>
              <w:ind w:right="173"/>
              <w:rPr>
                <w:rFonts w:ascii="Times" w:hAnsi="Times"/>
                <w:sz w:val="22"/>
                <w:szCs w:val="22"/>
              </w:rPr>
            </w:pPr>
            <w:r w:rsidRPr="0030133C">
              <w:rPr>
                <w:rFonts w:ascii="Times" w:hAnsi="Times"/>
                <w:sz w:val="22"/>
                <w:szCs w:val="22"/>
              </w:rPr>
              <w:lastRenderedPageBreak/>
              <w:t>Förderbare Maßnahmen unabhängig vom Gebäudealter</w:t>
            </w:r>
          </w:p>
          <w:p w14:paraId="5A3FFADC" w14:textId="77777777" w:rsidR="004335FF" w:rsidRPr="0030133C" w:rsidRDefault="004335FF" w:rsidP="004335FF">
            <w:pPr>
              <w:pStyle w:val="Listenabsatz"/>
              <w:numPr>
                <w:ilvl w:val="0"/>
                <w:numId w:val="6"/>
              </w:numPr>
              <w:ind w:right="173"/>
              <w:rPr>
                <w:rFonts w:eastAsiaTheme="minorHAnsi"/>
                <w:szCs w:val="22"/>
                <w:lang w:eastAsia="en-US"/>
              </w:rPr>
            </w:pPr>
            <w:r w:rsidRPr="0030133C">
              <w:rPr>
                <w:rFonts w:eastAsiaTheme="minorHAnsi"/>
                <w:szCs w:val="22"/>
                <w:lang w:eastAsia="en-US"/>
              </w:rPr>
              <w:t>Solaranlage</w:t>
            </w:r>
          </w:p>
          <w:p w14:paraId="6387B30B" w14:textId="77777777" w:rsidR="004335FF" w:rsidRPr="0030133C" w:rsidRDefault="004335FF" w:rsidP="004335FF">
            <w:pPr>
              <w:pStyle w:val="Listenabsatz"/>
              <w:numPr>
                <w:ilvl w:val="0"/>
                <w:numId w:val="6"/>
              </w:numPr>
              <w:ind w:right="173"/>
              <w:rPr>
                <w:rFonts w:eastAsiaTheme="minorHAnsi"/>
                <w:szCs w:val="22"/>
                <w:lang w:eastAsia="en-US"/>
              </w:rPr>
            </w:pPr>
            <w:r w:rsidRPr="0030133C">
              <w:rPr>
                <w:rFonts w:eastAsiaTheme="minorHAnsi"/>
                <w:szCs w:val="22"/>
                <w:lang w:eastAsia="en-US"/>
              </w:rPr>
              <w:t>Anschluss an Fernwärme</w:t>
            </w:r>
          </w:p>
          <w:p w14:paraId="67ECA721" w14:textId="77777777" w:rsidR="004335FF" w:rsidRPr="0030133C" w:rsidRDefault="004335FF" w:rsidP="00870555">
            <w:pPr>
              <w:ind w:right="173"/>
              <w:rPr>
                <w:rFonts w:ascii="Times" w:hAnsi="Times"/>
                <w:sz w:val="22"/>
                <w:szCs w:val="22"/>
              </w:rPr>
            </w:pPr>
            <w:r w:rsidRPr="0030133C">
              <w:rPr>
                <w:rFonts w:ascii="Times" w:hAnsi="Times"/>
                <w:sz w:val="22"/>
                <w:szCs w:val="22"/>
              </w:rPr>
              <w:t>Förderbare Maßnahmen für Gebäude mit Baubewilligung vor mehr als 10 Jahren</w:t>
            </w:r>
          </w:p>
          <w:p w14:paraId="7CD479AC" w14:textId="77777777" w:rsidR="004335FF" w:rsidRPr="0030133C" w:rsidRDefault="004335FF" w:rsidP="004335FF">
            <w:pPr>
              <w:pStyle w:val="Listenabsatz"/>
              <w:numPr>
                <w:ilvl w:val="0"/>
                <w:numId w:val="7"/>
              </w:numPr>
              <w:ind w:right="173"/>
              <w:rPr>
                <w:rFonts w:eastAsiaTheme="minorHAnsi"/>
                <w:szCs w:val="22"/>
                <w:lang w:eastAsia="en-US"/>
              </w:rPr>
            </w:pPr>
            <w:r w:rsidRPr="0030133C">
              <w:rPr>
                <w:rFonts w:eastAsiaTheme="minorHAnsi"/>
                <w:szCs w:val="22"/>
                <w:lang w:eastAsia="en-US"/>
              </w:rPr>
              <w:t>Einbau von energiesparenden Heizungen</w:t>
            </w:r>
          </w:p>
          <w:p w14:paraId="7E4CAFC5" w14:textId="77777777" w:rsidR="004335FF" w:rsidRPr="0030133C" w:rsidRDefault="004335FF" w:rsidP="004335FF">
            <w:pPr>
              <w:pStyle w:val="Listenabsatz"/>
              <w:numPr>
                <w:ilvl w:val="0"/>
                <w:numId w:val="7"/>
              </w:numPr>
              <w:ind w:right="173"/>
              <w:rPr>
                <w:rFonts w:eastAsiaTheme="minorHAnsi"/>
                <w:szCs w:val="22"/>
                <w:lang w:eastAsia="en-US"/>
              </w:rPr>
            </w:pPr>
            <w:r w:rsidRPr="0030133C">
              <w:rPr>
                <w:rFonts w:eastAsiaTheme="minorHAnsi"/>
                <w:szCs w:val="22"/>
                <w:lang w:eastAsia="en-US"/>
              </w:rPr>
              <w:lastRenderedPageBreak/>
              <w:t>Errichtung und Sanierung von Kaminen</w:t>
            </w:r>
          </w:p>
          <w:p w14:paraId="5F00152C" w14:textId="77777777" w:rsidR="004335FF" w:rsidRPr="00CB70FA" w:rsidRDefault="004335FF" w:rsidP="00870555">
            <w:pPr>
              <w:ind w:right="173"/>
              <w:rPr>
                <w:rFonts w:ascii="Times" w:eastAsiaTheme="minorEastAsia" w:hAnsi="Times"/>
                <w:sz w:val="22"/>
                <w:lang w:eastAsia="de-DE"/>
              </w:rPr>
            </w:pPr>
            <w:r w:rsidRPr="00CB70FA">
              <w:rPr>
                <w:rFonts w:ascii="Times" w:eastAsiaTheme="minorEastAsia" w:hAnsi="Times"/>
                <w:sz w:val="22"/>
                <w:lang w:eastAsia="de-DE"/>
              </w:rPr>
              <w:t xml:space="preserve">Förderung </w:t>
            </w:r>
            <w:r>
              <w:rPr>
                <w:rFonts w:ascii="Times" w:eastAsiaTheme="minorEastAsia" w:hAnsi="Times"/>
                <w:sz w:val="22"/>
                <w:lang w:eastAsia="de-DE"/>
              </w:rPr>
              <w:t>erfolgt in Gewährung von Annuitäte</w:t>
            </w:r>
            <w:r w:rsidRPr="00CB70FA">
              <w:rPr>
                <w:rFonts w:ascii="Times" w:eastAsiaTheme="minorEastAsia" w:hAnsi="Times"/>
                <w:sz w:val="22"/>
                <w:lang w:eastAsia="de-DE"/>
              </w:rPr>
              <w:t>nzuschuss (AZ – Finanzierung mit Bankkredit) oder einmaligen Zuschüssen (EZ – Finanzierung mit Eigenmitteln) oder der Übernahme einer Bürgschaft)</w:t>
            </w:r>
          </w:p>
          <w:p w14:paraId="21391586" w14:textId="77777777" w:rsidR="004335FF" w:rsidRDefault="004335FF" w:rsidP="004335FF">
            <w:pPr>
              <w:pStyle w:val="Listenabsatz"/>
              <w:numPr>
                <w:ilvl w:val="0"/>
                <w:numId w:val="4"/>
              </w:numPr>
              <w:ind w:right="173"/>
            </w:pPr>
            <w:r>
              <w:t xml:space="preserve">Biomasseheizung: AZ: </w:t>
            </w:r>
            <w:r w:rsidRPr="005B1491">
              <w:rPr>
                <w:b/>
              </w:rPr>
              <w:t>35%</w:t>
            </w:r>
            <w:r w:rsidRPr="005B1491">
              <w:t xml:space="preserve">, </w:t>
            </w:r>
            <w:r>
              <w:t xml:space="preserve">EZ: </w:t>
            </w:r>
            <w:r w:rsidRPr="005B1491">
              <w:rPr>
                <w:b/>
              </w:rPr>
              <w:t>25%</w:t>
            </w:r>
          </w:p>
          <w:p w14:paraId="25FB75AC" w14:textId="77777777" w:rsidR="004335FF" w:rsidRPr="005B1491" w:rsidRDefault="004335FF" w:rsidP="004335FF">
            <w:pPr>
              <w:pStyle w:val="Listenabsatz"/>
              <w:numPr>
                <w:ilvl w:val="0"/>
                <w:numId w:val="4"/>
              </w:numPr>
              <w:ind w:right="173"/>
            </w:pPr>
            <w:r>
              <w:t xml:space="preserve">Anschluss an Biomasse-Fernwärmeanlagen: AZ: </w:t>
            </w:r>
            <w:r w:rsidRPr="005B1491">
              <w:rPr>
                <w:b/>
              </w:rPr>
              <w:t>40%</w:t>
            </w:r>
            <w:r>
              <w:t xml:space="preserve">, EZ: </w:t>
            </w:r>
            <w:r w:rsidRPr="005B1491">
              <w:rPr>
                <w:b/>
              </w:rPr>
              <w:t>30%</w:t>
            </w:r>
          </w:p>
          <w:p w14:paraId="3ADDFF9B" w14:textId="77777777" w:rsidR="004335FF" w:rsidRPr="00085F91" w:rsidRDefault="004335FF" w:rsidP="004335FF">
            <w:pPr>
              <w:pStyle w:val="Listenabsatz"/>
              <w:numPr>
                <w:ilvl w:val="0"/>
                <w:numId w:val="4"/>
              </w:numPr>
              <w:ind w:right="173"/>
            </w:pPr>
            <w:r w:rsidRPr="00CB70FA">
              <w:t>Solaranlage: AZ:</w:t>
            </w:r>
            <w:r>
              <w:rPr>
                <w:b/>
              </w:rPr>
              <w:t xml:space="preserve"> 40 %</w:t>
            </w:r>
            <w:r w:rsidRPr="00CB70FA">
              <w:t xml:space="preserve">, EZ: </w:t>
            </w:r>
            <w:r>
              <w:rPr>
                <w:b/>
              </w:rPr>
              <w:t>30 %</w:t>
            </w:r>
          </w:p>
          <w:p w14:paraId="71A3B905" w14:textId="77777777" w:rsidR="004335FF" w:rsidRPr="00825FDA" w:rsidRDefault="004335FF" w:rsidP="00870555">
            <w:pPr>
              <w:ind w:right="173"/>
              <w:rPr>
                <w:rFonts w:ascii="Times" w:eastAsiaTheme="minorEastAsia" w:hAnsi="Times"/>
                <w:sz w:val="22"/>
                <w:lang w:eastAsia="de-DE"/>
              </w:rPr>
            </w:pPr>
            <w:r w:rsidRPr="00085F91">
              <w:rPr>
                <w:rFonts w:ascii="Times" w:eastAsiaTheme="minorEastAsia" w:hAnsi="Times"/>
                <w:sz w:val="22"/>
                <w:lang w:eastAsia="de-DE"/>
              </w:rPr>
              <w:t xml:space="preserve">Details unter diesem </w:t>
            </w:r>
            <w:hyperlink r:id="rId24" w:history="1">
              <w:r w:rsidRPr="00EE25CD">
                <w:rPr>
                  <w:rStyle w:val="Hyperlink"/>
                  <w:rFonts w:ascii="Times" w:eastAsiaTheme="minorEastAsia" w:hAnsi="Times"/>
                  <w:color w:val="0070C0"/>
                  <w:sz w:val="22"/>
                  <w:u w:val="single"/>
                  <w:lang w:eastAsia="de-DE"/>
                </w:rPr>
                <w:t>Link</w:t>
              </w:r>
            </w:hyperlink>
            <w:r w:rsidRPr="00EE25CD">
              <w:rPr>
                <w:rFonts w:ascii="Times" w:eastAsiaTheme="minorEastAsia" w:hAnsi="Times"/>
                <w:color w:val="0070C0"/>
                <w:sz w:val="22"/>
                <w:u w:val="single"/>
                <w:lang w:eastAsia="de-DE"/>
              </w:rPr>
              <w:t xml:space="preserve"> </w:t>
            </w:r>
            <w:r w:rsidRPr="00085F91">
              <w:rPr>
                <w:rFonts w:ascii="Times" w:eastAsiaTheme="minorEastAsia" w:hAnsi="Times"/>
                <w:sz w:val="22"/>
                <w:lang w:eastAsia="de-DE"/>
              </w:rPr>
              <w:t>ersichtlich</w:t>
            </w:r>
            <w:r>
              <w:rPr>
                <w:rFonts w:ascii="Times" w:eastAsiaTheme="minorEastAsia" w:hAnsi="Times"/>
                <w:sz w:val="22"/>
                <w:lang w:eastAsia="de-DE"/>
              </w:rPr>
              <w:t>.</w:t>
            </w:r>
          </w:p>
        </w:tc>
      </w:tr>
      <w:tr w:rsidR="004335FF" w:rsidRPr="00764B9A" w14:paraId="6C1928CC" w14:textId="77777777" w:rsidTr="00870555">
        <w:tc>
          <w:tcPr>
            <w:tcW w:w="1965" w:type="dxa"/>
          </w:tcPr>
          <w:p w14:paraId="15D0BF0E" w14:textId="77777777" w:rsidR="004335FF" w:rsidRDefault="004335FF" w:rsidP="00870555">
            <w:pPr>
              <w:ind w:right="173"/>
              <w:rPr>
                <w:rFonts w:ascii="Times" w:hAnsi="Times"/>
                <w:b/>
                <w:sz w:val="22"/>
              </w:rPr>
            </w:pPr>
          </w:p>
          <w:p w14:paraId="043E3449" w14:textId="77777777" w:rsidR="004335FF" w:rsidRDefault="004335FF" w:rsidP="00870555">
            <w:pPr>
              <w:ind w:right="173"/>
              <w:rPr>
                <w:rFonts w:ascii="Times" w:hAnsi="Times"/>
                <w:b/>
                <w:sz w:val="22"/>
              </w:rPr>
            </w:pPr>
            <w:r w:rsidRPr="00B36417">
              <w:rPr>
                <w:rFonts w:ascii="Times" w:hAnsi="Times"/>
                <w:b/>
                <w:sz w:val="22"/>
              </w:rPr>
              <w:t>Vorarlberg</w:t>
            </w:r>
          </w:p>
          <w:p w14:paraId="616890D6" w14:textId="77777777" w:rsidR="004335FF" w:rsidRPr="00B36417" w:rsidRDefault="004335FF" w:rsidP="00870555">
            <w:pPr>
              <w:ind w:right="173"/>
              <w:rPr>
                <w:rFonts w:ascii="Times" w:hAnsi="Times"/>
                <w:b/>
                <w:sz w:val="22"/>
              </w:rPr>
            </w:pPr>
            <w:r w:rsidRPr="00A72D2C">
              <w:rPr>
                <w:rFonts w:ascii="Times" w:hAnsi="Times"/>
                <w:b/>
                <w:noProof/>
                <w:sz w:val="22"/>
              </w:rPr>
              <w:drawing>
                <wp:inline distT="0" distB="0" distL="0" distR="0" wp14:anchorId="61F231FB" wp14:editId="23745F60">
                  <wp:extent cx="774700" cy="8763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74700" cy="876300"/>
                          </a:xfrm>
                          <a:prstGeom prst="rect">
                            <a:avLst/>
                          </a:prstGeom>
                        </pic:spPr>
                      </pic:pic>
                    </a:graphicData>
                  </a:graphic>
                </wp:inline>
              </w:drawing>
            </w:r>
          </w:p>
        </w:tc>
        <w:tc>
          <w:tcPr>
            <w:tcW w:w="8349" w:type="dxa"/>
          </w:tcPr>
          <w:p w14:paraId="0389440D" w14:textId="77777777" w:rsidR="004335FF" w:rsidRPr="00FF3A3A" w:rsidRDefault="004335FF" w:rsidP="00870555">
            <w:pPr>
              <w:ind w:right="173"/>
              <w:rPr>
                <w:rFonts w:ascii="Times" w:eastAsia="Times New Roman" w:hAnsi="Times" w:cs="Times New Roman"/>
                <w:sz w:val="22"/>
              </w:rPr>
            </w:pPr>
            <w:r w:rsidRPr="00FF3A3A">
              <w:rPr>
                <w:rFonts w:ascii="Times" w:hAnsi="Times"/>
                <w:sz w:val="22"/>
              </w:rPr>
              <w:t xml:space="preserve">Heizungsanlagen mit festen biogenen Brennstoffen und biogene Nahwärme; </w:t>
            </w:r>
            <w:r w:rsidRPr="00FF3A3A">
              <w:rPr>
                <w:rFonts w:ascii="Times" w:eastAsia="Times New Roman" w:hAnsi="Times" w:cs="Times New Roman"/>
                <w:sz w:val="22"/>
              </w:rPr>
              <w:t xml:space="preserve">max. Förderhöhe: </w:t>
            </w:r>
            <w:r w:rsidRPr="00FF3A3A">
              <w:rPr>
                <w:rFonts w:ascii="Times" w:eastAsia="Times New Roman" w:hAnsi="Times" w:cs="Times New Roman"/>
                <w:b/>
                <w:sz w:val="22"/>
              </w:rPr>
              <w:t>25 %</w:t>
            </w:r>
            <w:r w:rsidRPr="00FF3A3A">
              <w:rPr>
                <w:rFonts w:ascii="Times" w:eastAsia="Times New Roman" w:hAnsi="Times" w:cs="Times New Roman"/>
                <w:sz w:val="22"/>
              </w:rPr>
              <w:t xml:space="preserve"> der förderbaren Gesamtkosten</w:t>
            </w:r>
            <w:r>
              <w:rPr>
                <w:rFonts w:ascii="Times" w:eastAsia="Times New Roman" w:hAnsi="Times" w:cs="Times New Roman"/>
                <w:sz w:val="22"/>
              </w:rPr>
              <w:t xml:space="preserve"> in Basisförderung, </w:t>
            </w:r>
            <w:r w:rsidRPr="00854530">
              <w:rPr>
                <w:rFonts w:ascii="Times" w:eastAsia="Times New Roman" w:hAnsi="Times" w:cs="Times New Roman"/>
                <w:b/>
                <w:sz w:val="22"/>
              </w:rPr>
              <w:t>30%</w:t>
            </w:r>
            <w:r>
              <w:rPr>
                <w:rFonts w:ascii="Times" w:eastAsia="Times New Roman" w:hAnsi="Times" w:cs="Times New Roman"/>
                <w:sz w:val="22"/>
              </w:rPr>
              <w:t xml:space="preserve"> Bonusstufe 1, </w:t>
            </w:r>
            <w:r w:rsidRPr="00854530">
              <w:rPr>
                <w:rFonts w:ascii="Times" w:eastAsia="Times New Roman" w:hAnsi="Times" w:cs="Times New Roman"/>
                <w:b/>
                <w:sz w:val="22"/>
              </w:rPr>
              <w:t>35</w:t>
            </w:r>
            <w:r>
              <w:rPr>
                <w:rFonts w:ascii="Times" w:eastAsia="Times New Roman" w:hAnsi="Times" w:cs="Times New Roman"/>
                <w:b/>
                <w:sz w:val="22"/>
              </w:rPr>
              <w:t xml:space="preserve"> </w:t>
            </w:r>
            <w:r w:rsidRPr="00854530">
              <w:rPr>
                <w:rFonts w:ascii="Times" w:eastAsia="Times New Roman" w:hAnsi="Times" w:cs="Times New Roman"/>
                <w:b/>
                <w:sz w:val="22"/>
              </w:rPr>
              <w:t>%</w:t>
            </w:r>
            <w:r>
              <w:rPr>
                <w:rFonts w:ascii="Times" w:eastAsia="Times New Roman" w:hAnsi="Times" w:cs="Times New Roman"/>
                <w:sz w:val="22"/>
              </w:rPr>
              <w:t xml:space="preserve"> in Bonusstufe 2</w:t>
            </w:r>
            <w:r w:rsidRPr="00FF3A3A">
              <w:rPr>
                <w:rFonts w:ascii="Times" w:eastAsia="Times New Roman" w:hAnsi="Times" w:cs="Times New Roman"/>
                <w:sz w:val="22"/>
              </w:rPr>
              <w:t>;</w:t>
            </w:r>
          </w:p>
          <w:p w14:paraId="44046630" w14:textId="77777777" w:rsidR="004335FF" w:rsidRPr="00FF3A3A" w:rsidRDefault="004335FF" w:rsidP="00870555">
            <w:pPr>
              <w:ind w:right="173"/>
              <w:rPr>
                <w:rFonts w:ascii="Times" w:hAnsi="Times"/>
                <w:sz w:val="22"/>
              </w:rPr>
            </w:pPr>
            <w:r w:rsidRPr="00FF3A3A">
              <w:rPr>
                <w:rFonts w:ascii="Times" w:hAnsi="Times"/>
                <w:sz w:val="22"/>
              </w:rPr>
              <w:t>Besonderheiten: Es werden verschieden Förderungsstufen unterschieden.</w:t>
            </w:r>
          </w:p>
          <w:p w14:paraId="77D11381" w14:textId="77777777" w:rsidR="004335FF" w:rsidRPr="00FF3A3A" w:rsidRDefault="004335FF" w:rsidP="00870555">
            <w:pPr>
              <w:ind w:right="173"/>
              <w:rPr>
                <w:rFonts w:ascii="Times" w:hAnsi="Times"/>
                <w:sz w:val="22"/>
              </w:rPr>
            </w:pPr>
            <w:r w:rsidRPr="00FF3A3A">
              <w:rPr>
                <w:rFonts w:ascii="Times" w:hAnsi="Times"/>
                <w:sz w:val="22"/>
              </w:rPr>
              <w:t xml:space="preserve">Bsp.: Altbau Förderstufe </w:t>
            </w:r>
            <w:r>
              <w:rPr>
                <w:rFonts w:ascii="Times" w:hAnsi="Times"/>
                <w:sz w:val="22"/>
              </w:rPr>
              <w:t>2</w:t>
            </w:r>
            <w:r w:rsidRPr="00FF3A3A">
              <w:rPr>
                <w:rFonts w:ascii="Times" w:hAnsi="Times"/>
                <w:sz w:val="22"/>
              </w:rPr>
              <w:t xml:space="preserve"> und Neubau in Eigenheimen</w:t>
            </w:r>
            <w:r>
              <w:rPr>
                <w:rFonts w:ascii="Times" w:hAnsi="Times"/>
                <w:sz w:val="22"/>
              </w:rPr>
              <w:t>,</w:t>
            </w:r>
          </w:p>
          <w:p w14:paraId="2AE6346D" w14:textId="77777777" w:rsidR="004335FF" w:rsidRPr="00FF3A3A" w:rsidRDefault="004335FF" w:rsidP="00870555">
            <w:pPr>
              <w:ind w:right="173"/>
              <w:rPr>
                <w:rFonts w:ascii="Times" w:hAnsi="Times"/>
                <w:sz w:val="22"/>
              </w:rPr>
            </w:pPr>
            <w:r w:rsidRPr="00FF3A3A">
              <w:rPr>
                <w:rFonts w:ascii="Times" w:hAnsi="Times"/>
                <w:sz w:val="22"/>
              </w:rPr>
              <w:t>max. Förderbetrag:</w:t>
            </w:r>
          </w:p>
          <w:p w14:paraId="5C75F71D" w14:textId="77777777" w:rsidR="004335FF" w:rsidRPr="00854530" w:rsidRDefault="004335FF" w:rsidP="004335FF">
            <w:pPr>
              <w:pStyle w:val="Listenabsatz"/>
              <w:numPr>
                <w:ilvl w:val="0"/>
                <w:numId w:val="3"/>
              </w:numPr>
              <w:ind w:right="173"/>
              <w:rPr>
                <w:rFonts w:eastAsia="Times New Roman" w:cs="Times New Roman"/>
              </w:rPr>
            </w:pPr>
            <w:r>
              <w:rPr>
                <w:rFonts w:eastAsia="Times New Roman" w:cs="Times New Roman"/>
              </w:rPr>
              <w:t>Holzheizungen und Anschluss an Nahwärme</w:t>
            </w:r>
            <w:r w:rsidRPr="00FF3A3A">
              <w:rPr>
                <w:rFonts w:eastAsia="Times New Roman" w:cs="Times New Roman"/>
              </w:rPr>
              <w:t xml:space="preserve"> : </w:t>
            </w:r>
            <w:r w:rsidR="001860BF">
              <w:rPr>
                <w:rFonts w:eastAsia="Times New Roman" w:cs="Times New Roman"/>
              </w:rPr>
              <w:t xml:space="preserve">max. 35 %, </w:t>
            </w:r>
            <w:r>
              <w:rPr>
                <w:rFonts w:eastAsia="Times New Roman" w:cs="Times New Roman"/>
              </w:rPr>
              <w:t xml:space="preserve">max. </w:t>
            </w:r>
            <w:r w:rsidRPr="00FF3A3A">
              <w:rPr>
                <w:rFonts w:eastAsia="Times New Roman" w:cs="Times New Roman"/>
                <w:b/>
              </w:rPr>
              <w:t xml:space="preserve">€ </w:t>
            </w:r>
            <w:r>
              <w:rPr>
                <w:rFonts w:eastAsia="Times New Roman" w:cs="Times New Roman"/>
                <w:b/>
              </w:rPr>
              <w:t>3.500</w:t>
            </w:r>
            <w:r w:rsidRPr="00FF3A3A">
              <w:rPr>
                <w:rFonts w:eastAsia="Times New Roman" w:cs="Times New Roman"/>
                <w:b/>
              </w:rPr>
              <w:t>,-</w:t>
            </w:r>
            <w:r w:rsidR="001860BF">
              <w:rPr>
                <w:rFonts w:eastAsia="Times New Roman" w:cs="Times New Roman"/>
                <w:b/>
              </w:rPr>
              <w:t xml:space="preserve"> </w:t>
            </w:r>
            <w:r w:rsidR="001860BF" w:rsidRPr="001860BF">
              <w:rPr>
                <w:rFonts w:eastAsia="Times New Roman" w:cs="Times New Roman"/>
                <w:bCs/>
              </w:rPr>
              <w:t>(Bonusstufe 2)</w:t>
            </w:r>
            <w:r w:rsidR="001860BF">
              <w:rPr>
                <w:rFonts w:eastAsia="Times New Roman" w:cs="Times New Roman"/>
                <w:b/>
              </w:rPr>
              <w:t xml:space="preserve"> </w:t>
            </w:r>
          </w:p>
          <w:p w14:paraId="3495F23F" w14:textId="77777777" w:rsidR="004335FF" w:rsidRPr="00FF3A3A" w:rsidRDefault="004335FF" w:rsidP="004335FF">
            <w:pPr>
              <w:pStyle w:val="Listenabsatz"/>
              <w:numPr>
                <w:ilvl w:val="0"/>
                <w:numId w:val="3"/>
              </w:numPr>
              <w:ind w:right="173"/>
              <w:rPr>
                <w:rFonts w:eastAsia="Times New Roman" w:cs="Times New Roman"/>
              </w:rPr>
            </w:pPr>
            <w:r w:rsidRPr="00854530">
              <w:rPr>
                <w:rFonts w:eastAsia="Times New Roman" w:cs="Times New Roman"/>
              </w:rPr>
              <w:t>Förderbonus Altbau (&gt; 20 Jahre)</w:t>
            </w:r>
            <w:r>
              <w:rPr>
                <w:rFonts w:eastAsia="Times New Roman" w:cs="Times New Roman"/>
                <w:b/>
              </w:rPr>
              <w:t xml:space="preserve"> € 2500,- </w:t>
            </w:r>
            <w:r w:rsidRPr="00854530">
              <w:rPr>
                <w:rFonts w:eastAsia="Times New Roman" w:cs="Times New Roman"/>
              </w:rPr>
              <w:t>für Ersatz der Öl- und Gasheizung</w:t>
            </w:r>
            <w:r>
              <w:rPr>
                <w:rFonts w:eastAsia="Times New Roman" w:cs="Times New Roman"/>
              </w:rPr>
              <w:t xml:space="preserve"> (max. 50 % der förderbaren Kosten).</w:t>
            </w:r>
          </w:p>
          <w:p w14:paraId="777B2523" w14:textId="77777777" w:rsidR="004335FF" w:rsidRPr="00493B89" w:rsidRDefault="004335FF" w:rsidP="004335FF">
            <w:pPr>
              <w:pStyle w:val="Listenabsatz"/>
              <w:numPr>
                <w:ilvl w:val="0"/>
                <w:numId w:val="3"/>
              </w:numPr>
              <w:ind w:right="173"/>
              <w:rPr>
                <w:rFonts w:eastAsia="Times New Roman" w:cs="Times New Roman"/>
              </w:rPr>
            </w:pPr>
            <w:r>
              <w:rPr>
                <w:rFonts w:eastAsia="Times New Roman" w:cs="Times New Roman"/>
              </w:rPr>
              <w:t>Thermische Solaranlagen</w:t>
            </w:r>
            <w:r w:rsidR="001860BF">
              <w:rPr>
                <w:rFonts w:eastAsia="Times New Roman" w:cs="Times New Roman"/>
              </w:rPr>
              <w:t xml:space="preserve"> (Deckungsgrad gesamt von min. 50 %)</w:t>
            </w:r>
            <w:r w:rsidRPr="00FF3A3A">
              <w:rPr>
                <w:rFonts w:eastAsia="Times New Roman" w:cs="Times New Roman"/>
              </w:rPr>
              <w:t xml:space="preserve">: </w:t>
            </w:r>
            <w:r>
              <w:rPr>
                <w:rFonts w:eastAsia="Times New Roman" w:cs="Times New Roman"/>
              </w:rPr>
              <w:t xml:space="preserve">max. </w:t>
            </w:r>
            <w:r w:rsidRPr="00FF3A3A">
              <w:rPr>
                <w:rFonts w:eastAsia="Times New Roman" w:cs="Times New Roman"/>
                <w:b/>
              </w:rPr>
              <w:t xml:space="preserve">€ </w:t>
            </w:r>
            <w:r>
              <w:rPr>
                <w:rFonts w:eastAsia="Times New Roman" w:cs="Times New Roman"/>
                <w:b/>
              </w:rPr>
              <w:t>4.000</w:t>
            </w:r>
            <w:r w:rsidRPr="00FF3A3A">
              <w:rPr>
                <w:rFonts w:eastAsia="Times New Roman" w:cs="Times New Roman"/>
                <w:b/>
              </w:rPr>
              <w:t>,-</w:t>
            </w:r>
            <w:r w:rsidR="001860BF">
              <w:rPr>
                <w:rFonts w:eastAsia="Times New Roman" w:cs="Times New Roman"/>
                <w:b/>
              </w:rPr>
              <w:t xml:space="preserve"> </w:t>
            </w:r>
            <w:r w:rsidR="001860BF">
              <w:rPr>
                <w:rFonts w:eastAsia="Times New Roman" w:cs="Times New Roman"/>
                <w:bCs/>
              </w:rPr>
              <w:t>(Bonusstufe 2)</w:t>
            </w:r>
          </w:p>
          <w:p w14:paraId="4A4CB024" w14:textId="77777777" w:rsidR="004335FF" w:rsidRPr="00493B89" w:rsidRDefault="004335FF" w:rsidP="004335FF">
            <w:pPr>
              <w:pStyle w:val="Listenabsatz"/>
              <w:numPr>
                <w:ilvl w:val="0"/>
                <w:numId w:val="3"/>
              </w:numPr>
              <w:ind w:left="736" w:right="173"/>
              <w:rPr>
                <w:rFonts w:eastAsia="Times New Roman" w:cs="Times New Roman"/>
              </w:rPr>
            </w:pPr>
            <w:r w:rsidRPr="00493B89">
              <w:rPr>
                <w:rFonts w:eastAsia="Times New Roman" w:cs="Times New Roman"/>
              </w:rPr>
              <w:t xml:space="preserve">Förderbonus </w:t>
            </w:r>
            <w:r w:rsidR="001860BF">
              <w:rPr>
                <w:rFonts w:eastAsia="Times New Roman" w:cs="Times New Roman"/>
              </w:rPr>
              <w:t>Altbau bei Deckungsgrad von min.</w:t>
            </w:r>
            <w:r w:rsidRPr="00493B89">
              <w:rPr>
                <w:rFonts w:eastAsia="Times New Roman" w:cs="Times New Roman"/>
              </w:rPr>
              <w:t xml:space="preserve"> 50%</w:t>
            </w:r>
            <w:r>
              <w:rPr>
                <w:rFonts w:eastAsia="Times New Roman" w:cs="Times New Roman"/>
                <w:b/>
              </w:rPr>
              <w:t xml:space="preserve"> € 1.500,-</w:t>
            </w:r>
          </w:p>
          <w:p w14:paraId="7B0E3BCD" w14:textId="77777777" w:rsidR="004335FF" w:rsidRPr="00493B89" w:rsidRDefault="004335FF" w:rsidP="00870555">
            <w:pPr>
              <w:ind w:right="173"/>
              <w:rPr>
                <w:rFonts w:ascii="Times" w:eastAsia="Times New Roman" w:hAnsi="Times" w:cs="Times New Roman"/>
                <w:sz w:val="22"/>
                <w:szCs w:val="22"/>
              </w:rPr>
            </w:pPr>
            <w:r w:rsidRPr="00493B89">
              <w:rPr>
                <w:rFonts w:ascii="Times" w:eastAsia="Times New Roman" w:hAnsi="Times" w:cs="Times New Roman"/>
                <w:sz w:val="22"/>
                <w:szCs w:val="22"/>
              </w:rPr>
              <w:t xml:space="preserve">Details unter diesem </w:t>
            </w:r>
            <w:hyperlink r:id="rId26" w:history="1">
              <w:r w:rsidRPr="00EE25CD">
                <w:rPr>
                  <w:rStyle w:val="Hyperlink"/>
                  <w:rFonts w:ascii="Times" w:eastAsia="Times New Roman" w:hAnsi="Times" w:cs="Times New Roman"/>
                  <w:color w:val="0070C0"/>
                  <w:sz w:val="22"/>
                  <w:szCs w:val="22"/>
                  <w:u w:val="single"/>
                </w:rPr>
                <w:t>Link</w:t>
              </w:r>
            </w:hyperlink>
            <w:r w:rsidRPr="00493B89">
              <w:rPr>
                <w:rFonts w:ascii="Times" w:eastAsia="Times New Roman" w:hAnsi="Times" w:cs="Times New Roman"/>
                <w:sz w:val="22"/>
                <w:szCs w:val="22"/>
              </w:rPr>
              <w:t xml:space="preserve"> ersichtlich</w:t>
            </w:r>
            <w:r>
              <w:rPr>
                <w:rFonts w:ascii="Times" w:eastAsia="Times New Roman" w:hAnsi="Times" w:cs="Times New Roman"/>
                <w:sz w:val="22"/>
                <w:szCs w:val="22"/>
              </w:rPr>
              <w:t>.</w:t>
            </w:r>
          </w:p>
        </w:tc>
      </w:tr>
      <w:tr w:rsidR="004335FF" w:rsidRPr="00764B9A" w14:paraId="1CEAA6C8" w14:textId="77777777" w:rsidTr="00870555">
        <w:tc>
          <w:tcPr>
            <w:tcW w:w="1965" w:type="dxa"/>
          </w:tcPr>
          <w:p w14:paraId="1C3F07BB" w14:textId="77777777" w:rsidR="004335FF" w:rsidRDefault="004335FF" w:rsidP="00870555">
            <w:pPr>
              <w:ind w:right="173"/>
              <w:rPr>
                <w:rFonts w:ascii="Times" w:hAnsi="Times"/>
                <w:b/>
                <w:sz w:val="22"/>
              </w:rPr>
            </w:pPr>
            <w:r w:rsidRPr="00B36417">
              <w:rPr>
                <w:rFonts w:ascii="Times" w:hAnsi="Times"/>
                <w:b/>
                <w:sz w:val="22"/>
              </w:rPr>
              <w:t>Wien</w:t>
            </w:r>
          </w:p>
          <w:p w14:paraId="391860E2" w14:textId="77777777" w:rsidR="004335FF" w:rsidRPr="00B36417" w:rsidRDefault="004335FF" w:rsidP="00870555">
            <w:pPr>
              <w:ind w:right="173"/>
              <w:rPr>
                <w:rFonts w:ascii="Times" w:hAnsi="Times"/>
                <w:b/>
                <w:sz w:val="22"/>
              </w:rPr>
            </w:pPr>
            <w:r w:rsidRPr="00A72D2C">
              <w:rPr>
                <w:rFonts w:ascii="Times" w:hAnsi="Times"/>
                <w:b/>
                <w:noProof/>
                <w:sz w:val="22"/>
              </w:rPr>
              <w:drawing>
                <wp:inline distT="0" distB="0" distL="0" distR="0" wp14:anchorId="427B9CA6" wp14:editId="1B355DAE">
                  <wp:extent cx="660400" cy="8255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60400" cy="825500"/>
                          </a:xfrm>
                          <a:prstGeom prst="rect">
                            <a:avLst/>
                          </a:prstGeom>
                        </pic:spPr>
                      </pic:pic>
                    </a:graphicData>
                  </a:graphic>
                </wp:inline>
              </w:drawing>
            </w:r>
          </w:p>
        </w:tc>
        <w:tc>
          <w:tcPr>
            <w:tcW w:w="8349" w:type="dxa"/>
          </w:tcPr>
          <w:p w14:paraId="774990AB" w14:textId="77777777" w:rsidR="004335FF" w:rsidRDefault="004335FF" w:rsidP="00870555">
            <w:pPr>
              <w:ind w:right="173"/>
              <w:rPr>
                <w:rFonts w:cs="HelveticaLTStd-BoldCond"/>
                <w:sz w:val="22"/>
              </w:rPr>
            </w:pPr>
            <w:r>
              <w:rPr>
                <w:rFonts w:ascii="Times" w:hAnsi="Times"/>
                <w:sz w:val="22"/>
              </w:rPr>
              <w:t xml:space="preserve">Bei der großvolumigen Sanierung kann im Rahmen einer umfassenden Sanierung das Heizsystem mitgefördert werden; Wird es als Einzelmaßnahme genehmigt, wird ein Annuitätenzuschuss von 4% über 10 Jahre gewährt (auf 100% der Darlehenssumme); Bei Ein- und Zweifamilienhäusern </w:t>
            </w:r>
            <w:r w:rsidRPr="000231B1">
              <w:rPr>
                <w:rFonts w:ascii="Times" w:hAnsi="Times"/>
                <w:sz w:val="22"/>
              </w:rPr>
              <w:t xml:space="preserve">Förderung von bis zu </w:t>
            </w:r>
            <w:r w:rsidRPr="00DC1EED">
              <w:rPr>
                <w:rFonts w:ascii="Times" w:hAnsi="Times"/>
                <w:b/>
                <w:sz w:val="22"/>
              </w:rPr>
              <w:t xml:space="preserve">30% </w:t>
            </w:r>
            <w:r w:rsidRPr="000231B1">
              <w:rPr>
                <w:rFonts w:ascii="Times" w:hAnsi="Times"/>
                <w:sz w:val="22"/>
              </w:rPr>
              <w:t>der anerkannten Investitionskosten</w:t>
            </w:r>
            <w:r>
              <w:rPr>
                <w:rFonts w:ascii="Times" w:hAnsi="Times"/>
                <w:sz w:val="22"/>
              </w:rPr>
              <w:t xml:space="preserve"> bei einer umfassenden Sanierung im Rahmen der Wohnbauförderung. </w:t>
            </w:r>
            <w:r>
              <w:rPr>
                <w:rFonts w:cs="HelveticaLTStd-BoldCond"/>
                <w:sz w:val="22"/>
              </w:rPr>
              <w:t xml:space="preserve">  </w:t>
            </w:r>
          </w:p>
          <w:p w14:paraId="5C3FF6C4" w14:textId="77777777" w:rsidR="004335FF" w:rsidRPr="00FF3A3A" w:rsidRDefault="004335FF" w:rsidP="00870555">
            <w:pPr>
              <w:ind w:right="173"/>
              <w:rPr>
                <w:rFonts w:ascii="Times" w:hAnsi="Times" w:cs="HelveticaLTStd-BoldCond"/>
                <w:sz w:val="22"/>
              </w:rPr>
            </w:pPr>
            <w:r>
              <w:rPr>
                <w:rFonts w:cs="HelveticaLTStd-BoldCond"/>
                <w:sz w:val="22"/>
              </w:rPr>
              <w:t xml:space="preserve">Details für großvolumigen Neubau: </w:t>
            </w:r>
            <w:hyperlink r:id="rId28" w:history="1">
              <w:r w:rsidRPr="005A3E09">
                <w:rPr>
                  <w:rStyle w:val="Hyperlink"/>
                  <w:rFonts w:cs="HelveticaLTStd-BoldCond"/>
                  <w:color w:val="0070C0"/>
                  <w:sz w:val="22"/>
                  <w:u w:val="single"/>
                </w:rPr>
                <w:t>Link</w:t>
              </w:r>
            </w:hyperlink>
            <w:r w:rsidRPr="005A3E09">
              <w:rPr>
                <w:rStyle w:val="Hyperlink"/>
                <w:color w:val="0070C0"/>
                <w:u w:val="single"/>
              </w:rPr>
              <w:t xml:space="preserve"> </w:t>
            </w:r>
            <w:r>
              <w:rPr>
                <w:rFonts w:cs="HelveticaLTStd-BoldCond"/>
                <w:sz w:val="22"/>
              </w:rPr>
              <w:br/>
              <w:t xml:space="preserve">Details für Ein- und Zweifamilienhäuser: </w:t>
            </w:r>
            <w:hyperlink r:id="rId29" w:history="1">
              <w:r w:rsidRPr="00010C53">
                <w:rPr>
                  <w:rStyle w:val="Hyperlink"/>
                  <w:rFonts w:cs="HelveticaLTStd-BoldCond"/>
                  <w:color w:val="0070C0"/>
                  <w:sz w:val="22"/>
                  <w:u w:val="single"/>
                </w:rPr>
                <w:t>Link</w:t>
              </w:r>
            </w:hyperlink>
            <w:r w:rsidRPr="00493B89">
              <w:rPr>
                <w:rFonts w:cs="HelveticaLTStd-BoldCond"/>
                <w:color w:val="0070C0"/>
                <w:sz w:val="22"/>
              </w:rPr>
              <w:t xml:space="preserve"> </w:t>
            </w:r>
            <w:r>
              <w:rPr>
                <w:rFonts w:cs="HelveticaLTStd-BoldCond"/>
                <w:sz w:val="22"/>
              </w:rPr>
              <w:t xml:space="preserve">ersichtlich. </w:t>
            </w:r>
          </w:p>
        </w:tc>
      </w:tr>
      <w:tr w:rsidR="004335FF" w:rsidRPr="00764B9A" w14:paraId="636D9178" w14:textId="77777777" w:rsidTr="00870555">
        <w:tc>
          <w:tcPr>
            <w:tcW w:w="10314" w:type="dxa"/>
            <w:gridSpan w:val="2"/>
          </w:tcPr>
          <w:p w14:paraId="710CF782" w14:textId="77777777" w:rsidR="004335FF" w:rsidRDefault="004335FF" w:rsidP="00870555">
            <w:pPr>
              <w:pStyle w:val="Fuzeile"/>
              <w:rPr>
                <w:sz w:val="20"/>
              </w:rPr>
            </w:pPr>
            <w:r w:rsidRPr="008737D0">
              <w:rPr>
                <w:rFonts w:ascii="Times" w:hAnsi="Times"/>
                <w:sz w:val="20"/>
              </w:rPr>
              <w:t>Bei der Erstellung der Unterlagen wurde mit größter Sorgfalt gearbeitet. Fehler können jedoch nicht ausgeschlossen werden. Vor einer Investitionsentscheidung kontaktieren Sie unbedingt die zuständige Förderstelle. In der Förderübersicht werden insbesondere nicht alle Voraussetzungen für die Förderungen aufgeführt.</w:t>
            </w:r>
            <w:r>
              <w:rPr>
                <w:sz w:val="20"/>
              </w:rPr>
              <w:t xml:space="preserve"> </w:t>
            </w:r>
          </w:p>
          <w:p w14:paraId="1980208D" w14:textId="77777777" w:rsidR="004335FF" w:rsidRDefault="004335FF" w:rsidP="00870555">
            <w:pPr>
              <w:pStyle w:val="Fuzeile"/>
              <w:rPr>
                <w:rFonts w:ascii="Times" w:hAnsi="Times"/>
                <w:sz w:val="22"/>
              </w:rPr>
            </w:pPr>
            <w:r>
              <w:rPr>
                <w:sz w:val="20"/>
              </w:rPr>
              <w:t xml:space="preserve">Zuständige Förderstellen </w:t>
            </w:r>
            <w:r w:rsidRPr="00B81FD2">
              <w:rPr>
                <w:rStyle w:val="Hyperlink"/>
                <w:rFonts w:cs="HelveticaLTStd-BoldCond"/>
                <w:sz w:val="22"/>
              </w:rPr>
              <w:t xml:space="preserve">sind </w:t>
            </w:r>
            <w:hyperlink r:id="rId30" w:history="1">
              <w:r w:rsidRPr="00B81FD2">
                <w:rPr>
                  <w:rStyle w:val="Hyperlink"/>
                  <w:rFonts w:cs="HelveticaLTStd-BoldCond"/>
                  <w:color w:val="0070C0"/>
                  <w:sz w:val="22"/>
                  <w:u w:val="single"/>
                </w:rPr>
                <w:t>HIER</w:t>
              </w:r>
            </w:hyperlink>
            <w:r>
              <w:rPr>
                <w:sz w:val="20"/>
              </w:rPr>
              <w:t xml:space="preserve"> ersichtlich</w:t>
            </w:r>
          </w:p>
        </w:tc>
      </w:tr>
    </w:tbl>
    <w:p w14:paraId="7D729709" w14:textId="77777777" w:rsidR="004E7C38" w:rsidRDefault="004E7C38"/>
    <w:sectPr w:rsidR="004E7C38" w:rsidSect="00936E52">
      <w:headerReference w:type="default" r:id="rId3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63DA4" w14:textId="77777777" w:rsidR="002D0388" w:rsidRDefault="002D0388" w:rsidP="004335FF">
      <w:r>
        <w:separator/>
      </w:r>
    </w:p>
  </w:endnote>
  <w:endnote w:type="continuationSeparator" w:id="0">
    <w:p w14:paraId="04BFC54B" w14:textId="77777777" w:rsidR="002D0388" w:rsidRDefault="002D0388" w:rsidP="0043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LTStd-BoldCond">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A7219" w14:textId="77777777" w:rsidR="002D0388" w:rsidRDefault="002D0388" w:rsidP="004335FF">
      <w:r>
        <w:separator/>
      </w:r>
    </w:p>
  </w:footnote>
  <w:footnote w:type="continuationSeparator" w:id="0">
    <w:p w14:paraId="04E2B16E" w14:textId="77777777" w:rsidR="002D0388" w:rsidRDefault="002D0388" w:rsidP="0043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CAF8" w14:textId="77777777" w:rsidR="004335FF" w:rsidRDefault="004335FF" w:rsidP="004335FF">
    <w:pPr>
      <w:pStyle w:val="Kopfzeile"/>
      <w:tabs>
        <w:tab w:val="clear" w:pos="4536"/>
        <w:tab w:val="clear" w:pos="9072"/>
        <w:tab w:val="left" w:pos="873"/>
        <w:tab w:val="left" w:pos="2620"/>
      </w:tabs>
    </w:pPr>
    <w:r w:rsidRPr="00850834">
      <w:rPr>
        <w:noProof/>
        <w:lang w:eastAsia="de-DE"/>
      </w:rPr>
      <w:drawing>
        <wp:anchor distT="0" distB="0" distL="114300" distR="114300" simplePos="0" relativeHeight="251659264" behindDoc="0" locked="0" layoutInCell="1" allowOverlap="1" wp14:anchorId="03E81500" wp14:editId="797A481C">
          <wp:simplePos x="0" y="0"/>
          <wp:positionH relativeFrom="column">
            <wp:posOffset>-911860</wp:posOffset>
          </wp:positionH>
          <wp:positionV relativeFrom="paragraph">
            <wp:posOffset>-369151</wp:posOffset>
          </wp:positionV>
          <wp:extent cx="7559307" cy="2059806"/>
          <wp:effectExtent l="25400" t="0" r="0" b="0"/>
          <wp:wrapNone/>
          <wp:docPr id="1" name="Bild 1" descr="ÖBMV A4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BMV A4_Layou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307" cy="2059806"/>
                  </a:xfrm>
                  <a:prstGeom prst="rect">
                    <a:avLst/>
                  </a:prstGeom>
                  <a:noFill/>
                  <a:ln>
                    <a:noFill/>
                  </a:ln>
                </pic:spPr>
              </pic:pic>
            </a:graphicData>
          </a:graphic>
        </wp:anchor>
      </w:drawing>
    </w:r>
    <w:r>
      <w:tab/>
    </w:r>
    <w:r>
      <w:tab/>
    </w:r>
  </w:p>
  <w:p w14:paraId="6F164F14" w14:textId="77777777" w:rsidR="004335FF" w:rsidRDefault="004335FF" w:rsidP="004335FF">
    <w:pPr>
      <w:pStyle w:val="Kopfzeile"/>
      <w:tabs>
        <w:tab w:val="clear" w:pos="4536"/>
        <w:tab w:val="clear" w:pos="9072"/>
        <w:tab w:val="left" w:pos="873"/>
        <w:tab w:val="left" w:pos="2620"/>
      </w:tabs>
    </w:pPr>
  </w:p>
  <w:p w14:paraId="45E49AF1" w14:textId="77777777" w:rsidR="004335FF" w:rsidRDefault="004335FF" w:rsidP="004335FF">
    <w:pPr>
      <w:pStyle w:val="Kopfzeile"/>
      <w:tabs>
        <w:tab w:val="clear" w:pos="4536"/>
        <w:tab w:val="clear" w:pos="9072"/>
        <w:tab w:val="left" w:pos="873"/>
      </w:tabs>
    </w:pPr>
  </w:p>
  <w:p w14:paraId="6E18DFF2" w14:textId="77777777" w:rsidR="004335FF" w:rsidRDefault="004335FF" w:rsidP="004335FF">
    <w:pPr>
      <w:pStyle w:val="Kopfzeile"/>
      <w:tabs>
        <w:tab w:val="clear" w:pos="4536"/>
        <w:tab w:val="clear" w:pos="9072"/>
        <w:tab w:val="left" w:pos="873"/>
      </w:tabs>
    </w:pPr>
  </w:p>
  <w:p w14:paraId="4B54434B" w14:textId="77777777" w:rsidR="004335FF" w:rsidRDefault="004335FF" w:rsidP="004335FF">
    <w:pPr>
      <w:pStyle w:val="Kopfzeile"/>
      <w:tabs>
        <w:tab w:val="clear" w:pos="4536"/>
        <w:tab w:val="clear" w:pos="9072"/>
        <w:tab w:val="left" w:pos="8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0B5"/>
    <w:multiLevelType w:val="hybridMultilevel"/>
    <w:tmpl w:val="0E6A37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2935F64"/>
    <w:multiLevelType w:val="hybridMultilevel"/>
    <w:tmpl w:val="735E3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9731A7"/>
    <w:multiLevelType w:val="hybridMultilevel"/>
    <w:tmpl w:val="4022E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546B8C"/>
    <w:multiLevelType w:val="hybridMultilevel"/>
    <w:tmpl w:val="3AC0590C"/>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4" w15:restartNumberingAfterBreak="0">
    <w:nsid w:val="40820D30"/>
    <w:multiLevelType w:val="hybridMultilevel"/>
    <w:tmpl w:val="1BF04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777281"/>
    <w:multiLevelType w:val="hybridMultilevel"/>
    <w:tmpl w:val="1BC49E24"/>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6" w15:restartNumberingAfterBreak="0">
    <w:nsid w:val="4F66408D"/>
    <w:multiLevelType w:val="hybridMultilevel"/>
    <w:tmpl w:val="4AC24D5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583893"/>
    <w:multiLevelType w:val="hybridMultilevel"/>
    <w:tmpl w:val="3B606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FF"/>
    <w:rsid w:val="001860BF"/>
    <w:rsid w:val="00221C83"/>
    <w:rsid w:val="002D0388"/>
    <w:rsid w:val="004335FF"/>
    <w:rsid w:val="00495425"/>
    <w:rsid w:val="004E5771"/>
    <w:rsid w:val="004E7C38"/>
    <w:rsid w:val="0056443F"/>
    <w:rsid w:val="00637F3C"/>
    <w:rsid w:val="006559AE"/>
    <w:rsid w:val="007B53BD"/>
    <w:rsid w:val="00936E52"/>
    <w:rsid w:val="009471E8"/>
    <w:rsid w:val="00A129D5"/>
    <w:rsid w:val="00A80B91"/>
    <w:rsid w:val="00AC4D64"/>
    <w:rsid w:val="00DB5270"/>
    <w:rsid w:val="00F93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B2C7"/>
  <w15:chartTrackingRefBased/>
  <w15:docId w15:val="{38377345-C023-3F41-9A09-CDF7EEAB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5FF"/>
    <w:rPr>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335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72"/>
    <w:qFormat/>
    <w:rsid w:val="004335FF"/>
    <w:pPr>
      <w:ind w:left="720"/>
      <w:contextualSpacing/>
    </w:pPr>
    <w:rPr>
      <w:rFonts w:ascii="Times" w:eastAsiaTheme="minorEastAsia" w:hAnsi="Times"/>
      <w:sz w:val="22"/>
      <w:lang w:eastAsia="de-DE"/>
    </w:rPr>
  </w:style>
  <w:style w:type="paragraph" w:styleId="Fuzeile">
    <w:name w:val="footer"/>
    <w:basedOn w:val="Standard"/>
    <w:link w:val="FuzeileZchn"/>
    <w:uiPriority w:val="99"/>
    <w:rsid w:val="004335FF"/>
    <w:pPr>
      <w:tabs>
        <w:tab w:val="center" w:pos="4536"/>
        <w:tab w:val="right" w:pos="9072"/>
      </w:tabs>
    </w:pPr>
  </w:style>
  <w:style w:type="character" w:customStyle="1" w:styleId="FuzeileZchn">
    <w:name w:val="Fußzeile Zchn"/>
    <w:basedOn w:val="Absatz-Standardschriftart"/>
    <w:link w:val="Fuzeile"/>
    <w:uiPriority w:val="99"/>
    <w:rsid w:val="004335FF"/>
    <w:rPr>
      <w:sz w:val="44"/>
    </w:rPr>
  </w:style>
  <w:style w:type="character" w:styleId="Hyperlink">
    <w:name w:val="Hyperlink"/>
    <w:rsid w:val="004335FF"/>
  </w:style>
  <w:style w:type="paragraph" w:styleId="Sprechblasentext">
    <w:name w:val="Balloon Text"/>
    <w:basedOn w:val="Standard"/>
    <w:link w:val="SprechblasentextZchn"/>
    <w:uiPriority w:val="99"/>
    <w:semiHidden/>
    <w:unhideWhenUsed/>
    <w:rsid w:val="004335F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335FF"/>
    <w:rPr>
      <w:rFonts w:ascii="Times New Roman" w:hAnsi="Times New Roman" w:cs="Times New Roman"/>
      <w:sz w:val="18"/>
      <w:szCs w:val="18"/>
    </w:rPr>
  </w:style>
  <w:style w:type="paragraph" w:styleId="Kopfzeile">
    <w:name w:val="header"/>
    <w:basedOn w:val="Standard"/>
    <w:link w:val="KopfzeileZchn"/>
    <w:uiPriority w:val="99"/>
    <w:unhideWhenUsed/>
    <w:rsid w:val="004335FF"/>
    <w:pPr>
      <w:tabs>
        <w:tab w:val="center" w:pos="4536"/>
        <w:tab w:val="right" w:pos="9072"/>
      </w:tabs>
    </w:pPr>
  </w:style>
  <w:style w:type="character" w:customStyle="1" w:styleId="KopfzeileZchn">
    <w:name w:val="Kopfzeile Zchn"/>
    <w:basedOn w:val="Absatz-Standardschriftart"/>
    <w:link w:val="Kopfzeile"/>
    <w:uiPriority w:val="99"/>
    <w:rsid w:val="004335FF"/>
    <w:rPr>
      <w:sz w:val="44"/>
    </w:rPr>
  </w:style>
  <w:style w:type="character" w:styleId="BesuchterLink">
    <w:name w:val="FollowedHyperlink"/>
    <w:basedOn w:val="Absatz-Standardschriftart"/>
    <w:uiPriority w:val="99"/>
    <w:semiHidden/>
    <w:unhideWhenUsed/>
    <w:rsid w:val="00DB52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78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tn.gv.at/Service/Formulare-und-Leistungen/BW-L27" TargetMode="External"/><Relationship Id="rId18" Type="http://schemas.openxmlformats.org/officeDocument/2006/relationships/hyperlink" Target="https://www.land-oberoesterreich.gv.at/97453.htm" TargetMode="External"/><Relationship Id="rId26" Type="http://schemas.openxmlformats.org/officeDocument/2006/relationships/hyperlink" Target="https://vorarlberg.at/documents/21336/122370/Energief&#246;rderungsrichtlinie+2018-2019.pdf/ec66984b-fe9a-45a7-b90f-12f765e26cbf"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oel.gv.at/noe/Bauen-Neubau/Bauen_Neubau.html" TargetMode="External"/><Relationship Id="rId20" Type="http://schemas.openxmlformats.org/officeDocument/2006/relationships/hyperlink" Target="https://www.energieaktiv.at/information-und-beratung/downloads/" TargetMode="External"/><Relationship Id="rId29" Type="http://schemas.openxmlformats.org/officeDocument/2006/relationships/hyperlink" Target="https://www.wien.gv.at/amtshelfer/bauen-wohnen/wohnbaufoerderung/wohnungsverbesserung/heizungsinstallatione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rgenland.at/themen/energie/foerderungen/alternativenergieanlagen/allgemeine-informationen/" TargetMode="External"/><Relationship Id="rId24" Type="http://schemas.openxmlformats.org/officeDocument/2006/relationships/hyperlink" Target="https://www.tirol.gv.at/bauen-wohnen/wohnbaufoerderun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oel.gv.at/noe/Sanieren-Renovieren/Sanieren___Renovieren.html" TargetMode="External"/><Relationship Id="rId23" Type="http://schemas.openxmlformats.org/officeDocument/2006/relationships/image" Target="media/image9.png"/><Relationship Id="rId28" Type="http://schemas.openxmlformats.org/officeDocument/2006/relationships/hyperlink" Target="https://www.wien.gv.at/wohnen/wohnbaufoerderung/foerderungen/neubau/"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mweltfoerderung.at/privatpersonen.html" TargetMode="External"/><Relationship Id="rId14" Type="http://schemas.openxmlformats.org/officeDocument/2006/relationships/image" Target="media/image5.png"/><Relationship Id="rId22" Type="http://schemas.openxmlformats.org/officeDocument/2006/relationships/hyperlink" Target="http://www.wohnbau.steiermark.at/cms/ziel/113383975/DE/" TargetMode="External"/><Relationship Id="rId27" Type="http://schemas.openxmlformats.org/officeDocument/2006/relationships/image" Target="media/image11.png"/><Relationship Id="rId30" Type="http://schemas.openxmlformats.org/officeDocument/2006/relationships/hyperlink" Target="http://www.biomasseverband.at/service/foerderuebersicht/ansprechpartner-fuer-die-foerderungen-fuer-ihr-bundes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7266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Rosenberger</dc:creator>
  <cp:keywords/>
  <dc:description/>
  <cp:lastModifiedBy>anjusch</cp:lastModifiedBy>
  <cp:revision>6</cp:revision>
  <dcterms:created xsi:type="dcterms:W3CDTF">2019-03-08T10:18:00Z</dcterms:created>
  <dcterms:modified xsi:type="dcterms:W3CDTF">2020-03-19T12:07:00Z</dcterms:modified>
</cp:coreProperties>
</file>